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after Step 9b (first real-solver results) · 2026-07-11</w:t>
      </w:r>
    </w:p>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correct only while trust is low  (hysteresis deadband)</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with real FNO + spectral the hybrid gives ~0.75% long-horizon error - about 10x better than pure-ML - at roughly one-third of the numerical solver cost. It is a tunable middle ground, NOT free numerical-grade accuracy.</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uses TWO thresholds (hysteresis): start correcting when trust falls below 0.4, and stop only when it climbs back above 0.6 — so a jittery trust signal doesn't make it flip on and off. configure() uses the Step-4 map so a tighter accuracy target automatically means more correcting. FixedIntervalController just corrects 'every k steps' as a baseline to beat.</w:t>
      </w:r>
    </w:p>
    <w:p>
      <w:r>
        <w:rPr>
          <w:b/>
          <w:color w:val="1F4E79"/>
        </w:rPr>
        <w:t xml:space="preserve">Result:  </w:t>
      </w:r>
      <w:r>
        <w:t>The two-threshold rule flipped only 1 time versus 3 for a naive single threshold (no chattering). A tighter target pulled more correction (50 -&gt; 150 steps). And while the model was trustworthy, the adaptive controller did 0 corrections while the fixed baseline wasted 16. That 0-vs-16 gap is the cost saving.</w:t>
      </w:r>
    </w:p>
    <w:p>
      <w:pPr>
        <w:jc w:val="center"/>
      </w:pPr>
      <w:r>
        <w:drawing>
          <wp:inline xmlns:a="http://schemas.openxmlformats.org/drawingml/2006/main" xmlns:pic="http://schemas.openxmlformats.org/drawingml/2006/picture">
            <wp:extent cx="5669280" cy="3826764"/>
            <wp:docPr id="4" name="Picture 4"/>
            <wp:cNvGraphicFramePr>
              <a:graphicFrameLocks noChangeAspect="1"/>
            </wp:cNvGraphicFramePr>
            <a:graphic>
              <a:graphicData uri="http://schemas.openxmlformats.org/drawingml/2006/picture">
                <pic:pic>
                  <pic:nvPicPr>
                    <pic:cNvPr id="0" name="controller.png"/>
                    <pic:cNvPicPr/>
                  </pic:nvPicPr>
                  <pic:blipFill>
                    <a:blip r:embed="rId12"/>
                    <a:stretch>
                      <a:fillRect/>
                    </a:stretch>
                  </pic:blipFill>
                  <pic:spPr>
                    <a:xfrm>
                      <a:off x="0" y="0"/>
                      <a:ext cx="5669280" cy="3826764"/>
                    </a:xfrm>
                    <a:prstGeom prst="rect"/>
                  </pic:spPr>
                </pic:pic>
              </a:graphicData>
            </a:graphic>
          </wp:inline>
        </w:drawing>
      </w:r>
    </w:p>
    <w:p>
      <w:pPr>
        <w:jc w:val="center"/>
      </w:pPr>
      <w:r>
        <w:rPr>
          <w:i/>
          <w:color w:val="555555"/>
          <w:sz w:val="18"/>
        </w:rPr>
        <w:t>Figure — Step 5: the trust signal (top) and the 'correct?' decision (bottom) for two policies.</w:t>
      </w:r>
    </w:p>
    <w:p>
      <w:r>
        <w:rPr>
          <w:b/>
          <w:color w:val="1F4E79"/>
        </w:rPr>
        <w:t xml:space="preserve">What the graph shows:  </w:t>
      </w:r>
      <w:r>
        <w:t>Top = a noisy trust signal falling through the gold band (the deadband between the two thresholds). Bottom = the 'correct?' decision over time: the red line (naive single threshold) flips on/off repeatedly as noise crosses its line — that is chattering, wasteful and jumpy. The green line (hysteresis) switches once cleanly and stays put.</w:t>
      </w:r>
    </w:p>
    <w:p>
      <w:r>
        <w:rPr>
          <w:b/>
          <w:color w:val="1F4E79"/>
        </w:rPr>
        <w:t xml:space="preserve">Conclusion:  </w:t>
      </w:r>
      <w:r>
        <w:t>The two-threshold deadband gives stable, targeted switching: correct only when genuinely needed, with no thrashing. This is the robust core the cost-aware novelty is built on.</w:t>
      </w:r>
    </w:p>
    <w:p>
      <w:r>
        <w:rPr>
          <w:b/>
          <w:color w:val="1F4E79"/>
        </w:rPr>
        <w:t xml:space="preserve">Likely viva questions:  </w:t>
      </w:r>
      <w:r/>
    </w:p>
    <w:p>
      <w:r>
        <w:rPr>
          <w:b/>
        </w:rPr>
        <w:t xml:space="preserve">Q: </w:t>
      </w:r>
      <w:r>
        <w:t>Is hysteresis your novelty?</w:t>
      </w:r>
    </w:p>
    <w:p>
      <w:r>
        <w:rPr>
          <w:b/>
          <w:color w:val="1E7449"/>
        </w:rPr>
        <w:t xml:space="preserve">A: </w:t>
      </w:r>
      <w:r>
        <w:t>No. Hysteresis is a standard, reliable switching trick (a thermostat uses it). My novelty is the layer around it: the controller is driven by an accuracy BUDGET and spends the least numerical effort to hit it, proven with a measured cost/accuracy frontier.</w:t>
      </w:r>
    </w:p>
    <w:p>
      <w:r>
        <w:rPr>
          <w:b/>
        </w:rPr>
        <w:t xml:space="preserve">Q: </w:t>
      </w:r>
      <w:r>
        <w:t>What is hysteresis, simply?</w:t>
      </w:r>
    </w:p>
    <w:p>
      <w:r>
        <w:rPr>
          <w:b/>
          <w:color w:val="1E7449"/>
        </w:rPr>
        <w:t xml:space="preserve">A: </w:t>
      </w:r>
      <w:r>
        <w:t>A 'make up your mind' rule with two thresholds: once you switch, don't switch back until things have clearly changed, not just wobbled. It stops the switch flipping on a noisy signal.</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5" name="Picture 5"/>
            <wp:cNvGraphicFramePr>
              <a:graphicFrameLocks noChangeAspect="1"/>
            </wp:cNvGraphicFramePr>
            <a:graphic>
              <a:graphicData uri="http://schemas.openxmlformats.org/drawingml/2006/picture">
                <pic:pic>
                  <pic:nvPicPr>
                    <pic:cNvPr id="0" name="runtime_snapshot.png"/>
                    <pic:cNvPicPr/>
                  </pic:nvPicPr>
                  <pic:blipFill>
                    <a:blip r:embed="rId13"/>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24147"/>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669280" cy="3524147"/>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7" name="Picture 7"/>
            <wp:cNvGraphicFramePr>
              <a:graphicFrameLocks noChangeAspect="1"/>
            </wp:cNvGraphicFramePr>
            <a:graphic>
              <a:graphicData uri="http://schemas.openxmlformats.org/drawingml/2006/picture">
                <pic:pic>
                  <pic:nvPicPr>
                    <pic:cNvPr id="0" name="pareto_robust.png"/>
                    <pic:cNvPicPr/>
                  </pic:nvPicPr>
                  <pic:blipFill>
                    <a:blip r:embed="rId15"/>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251960"/>
            <wp:docPr id="8" name="Picture 8"/>
            <wp:cNvGraphicFramePr>
              <a:graphicFrameLocks noChangeAspect="1"/>
            </wp:cNvGraphicFramePr>
            <a:graphic>
              <a:graphicData uri="http://schemas.openxmlformats.org/drawingml/2006/picture">
                <pic:pic>
                  <pic:nvPicPr>
                    <pic:cNvPr id="0" name="adaptive_vs_fixed.png"/>
                    <pic:cNvPicPr/>
                  </pic:nvPicPr>
                  <pic:blipFill>
                    <a:blip r:embed="rId16"/>
                    <a:stretch>
                      <a:fillRect/>
                    </a:stretch>
                  </pic:blipFill>
                  <pic:spPr>
                    <a:xfrm>
                      <a:off x="0" y="0"/>
                      <a:ext cx="5669280" cy="4251960"/>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482558"/>
            <wp:docPr id="9" name="Picture 9"/>
            <wp:cNvGraphicFramePr>
              <a:graphicFrameLocks noChangeAspect="1"/>
            </wp:cNvGraphicFramePr>
            <a:graphic>
              <a:graphicData uri="http://schemas.openxmlformats.org/drawingml/2006/picture">
                <pic:pic>
                  <pic:nvPicPr>
                    <pic:cNvPr id="0" name="dry_run_frontier.png"/>
                    <pic:cNvPicPr/>
                  </pic:nvPicPr>
                  <pic:blipFill>
                    <a:blip r:embed="rId17"/>
                    <a:stretch>
                      <a:fillRect/>
                    </a:stretch>
                  </pic:blipFill>
                  <pic:spPr>
                    <a:xfrm>
                      <a:off x="0" y="0"/>
                      <a:ext cx="5669280" cy="3482558"/>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10" name="Picture 10"/>
            <wp:cNvGraphicFramePr>
              <a:graphicFrameLocks noChangeAspect="1"/>
            </wp:cNvGraphicFramePr>
            <a:graphic>
              <a:graphicData uri="http://schemas.openxmlformats.org/drawingml/2006/picture">
                <pic:pic>
                  <pic:nvPicPr>
                    <pic:cNvPr id="0" name="demo_preview.png"/>
                    <pic:cNvPicPr/>
                  </pic:nvPicPr>
                  <pic:blipFill>
                    <a:blip r:embed="rId18"/>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1"/>
      </w:pPr>
      <w:r>
        <w:rPr>
          <w:rFonts w:ascii="Calibri" w:hAnsi="Calibri"/>
          <w:color w:val="1F4E79"/>
        </w:rPr>
        <w:t>4. Where we are, and what's next</w:t>
      </w:r>
    </w:p>
    <w:p>
      <w:r>
        <w:rPr>
          <w:b w:val="0"/>
          <w:i w:val="0"/>
          <w:sz w:val="22"/>
        </w:rPr>
        <w:t>Done and verified: Step 1 (scoring), Step 2 (one hybrid run), Step 3 (cost stopwatch), Step 4 (accuracy-cost map), Step 5 (the controller), Step 6 (the runtime), Step 7 (the Pareto frontier), Step 8 (robustness). Step 9 (integration scaffolding), Step 10 (the live demo). The module build is complete; what remains is running the real solvers/teammate modules on your machine.</w:t>
      </w:r>
    </w:p>
    <w:p>
      <w:r>
        <w:rPr>
          <w:b/>
          <w:i w:val="0"/>
          <w:sz w:val="22"/>
        </w:rPr>
        <w:t>Still to come:</w:t>
      </w:r>
    </w:p>
    <w:p>
      <w:pPr>
        <w:pStyle w:val="Heading1"/>
      </w:pPr>
      <w:r>
        <w:rPr>
          <w:rFonts w:ascii="Calibri" w:hAnsi="Calibri"/>
          <w:color w:val="1F4E79"/>
        </w:rPr>
        <w:t>5. 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Coupling: </w:t>
      </w:r>
      <w:r>
        <w:t>Handing the problem from the ML solver to the numerical solver without breaking it.</w:t>
      </w:r>
    </w:p>
    <w:p>
      <w:r>
        <w:rPr>
          <w:b/>
        </w:rPr>
        <w:t xml:space="preserve">Hysteresis / deadband: </w:t>
      </w:r>
      <w:r>
        <w:t>Two-threshold switching so a noisy signal doesn't cause on/off flipping.</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