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Independent Verification of the Trust-Threshold Constants</w:t>
      </w:r>
    </w:p>
    <w:p>
      <w:pPr>
        <w:spacing w:after="140"/>
      </w:pPr>
      <w:r>
        <w:rPr>
          <w:i/>
          <w:iCs/>
          <w:sz w:val="20"/>
          <w:szCs w:val="20"/>
        </w:rPr>
        <w:t xml:space="preserve">Module 3 — Cost-Aware Adaptive Control. Source script: experiments/verify_thresholds_for_target.py. Saved data: results/m3/threshold_verification/verify_thresholds_for_target.json.</w:t>
      </w:r>
    </w:p>
    <w:p>
      <w:pPr>
        <w:pStyle w:val="Heading1"/>
        <w:spacing w:after="120" w:before="220"/>
      </w:pPr>
      <w:r>
        <w:t xml:space="preserve">What this checks</w:t>
      </w:r>
    </w:p>
    <w:p>
      <w:pPr>
        <w:pBdr>
          <w:top w:val="single" w:color="CBD5E1" w:sz="2"/>
          <w:bottom w:val="single" w:color="CBD5E1" w:sz="2"/>
          <w:left w:val="single" w:color="CBD5E1" w:sz="2"/>
          <w:right w:val="single" w:color="CBD5E1" w:sz="2"/>
        </w:pBdr>
        <w:shd w:fill="F1F0FB" w:val="clear"/>
        <w:spacing w:after="160" w:before="80"/>
      </w:pPr>
      <w:r>
        <w:rPr>
          <w:rFonts w:ascii="Consolas" w:cs="Consolas" w:eastAsia="Consolas" w:hAnsi="Consolas"/>
          <w:sz w:val="19"/>
          <w:szCs w:val="19"/>
        </w:rPr>
        <w:t xml:space="preserve">theta_lo(target) = clip(0.62 − 1.4 × target, 0.12, 0.58)      — controller.py, thresholds_for_target()</w:t>
      </w:r>
    </w:p>
    <w:p>
      <w:pPr>
        <w:spacing w:after="140"/>
      </w:pPr>
      <w:r>
        <w:rPr>
          <w:i w:val="false"/>
          <w:iCs w:val="false"/>
          <w:sz w:val="20"/>
          <w:szCs w:val="20"/>
        </w:rPr>
        <w:t xml:space="preserve">This is a post-hoc check that the shipped constants are good, not a claim about how they were originally derived (see the companion calibration document, Table_Threshold_Calibration.docx, for that). Two independent checks: (a) every threshold the formula outputs falls inside the trust signal's real measured operating range, and (b) a brute-force grid search over threshold values, run separately from the formula, is compared against it.</w:t>
      </w:r>
    </w:p>
    <w:p>
      <w:pPr>
        <w:pStyle w:val="Heading1"/>
        <w:spacing w:after="120" w:before="220"/>
      </w:pPr>
      <w:r>
        <w:t xml:space="preserve">Table 1 — Trust signal range and saturation check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D948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Measured minimum</w:t>
            </w:r>
          </w:p>
        </w:tc>
        <w:tc>
          <w:tcPr>
            <w:tcW w:type="dxa" w:w="3120"/>
            <w:shd w:fill="0D948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Measured maximum</w:t>
            </w:r>
          </w:p>
        </w:tc>
        <w:tc>
          <w:tcPr>
            <w:tcW w:type="dxa" w:w="3120"/>
            <w:shd w:fill="0D948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Saturation check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0.183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0.818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thresholds_for_target(0.02) = 0.58, matching the T2 result that the knob saturates below target ~0.029</w:t>
            </w:r>
          </w:p>
        </w:tc>
      </w:tr>
    </w:tbl>
    <w:p>
      <w:pPr>
        <w:spacing w:after="140"/>
      </w:pPr>
      <w:r>
        <w:rPr>
          <w:i w:val="false"/>
          <w:iCs w:val="false"/>
          <w:sz w:val="20"/>
          <w:szCs w:val="20"/>
        </w:rPr>
        <w:t xml:space="preserve">Measured on held-out evaluation data — the same real trust signal the controller reads from live, not a synthetic stand-in.</w:t>
      </w:r>
    </w:p>
    <w:p>
      <w:pPr>
        <w:pStyle w:val="Heading1"/>
        <w:spacing w:after="120" w:before="220"/>
      </w:pPr>
      <w:r>
        <w:t xml:space="preserve">Table 2 — Every formula output falls inside the measured range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600"/>
        <w:gridCol w:w="2600"/>
        <w:gridCol w:w="2600"/>
      </w:tblGrid>
      <w:tr>
        <w:tc>
          <w:tcPr>
            <w:tcW w:type="dxa" w:w="1560"/>
            <w:shd w:fill="0D948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tcW w:type="dxa" w:w="2600"/>
            <w:shd w:fill="0D948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Formula θlo</w:t>
            </w:r>
          </w:p>
        </w:tc>
        <w:tc>
          <w:tcPr>
            <w:tcW w:type="dxa" w:w="2600"/>
            <w:shd w:fill="0D948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Measured range</w:t>
            </w:r>
          </w:p>
        </w:tc>
        <w:tc>
          <w:tcPr>
            <w:tcW w:type="dxa" w:w="2600"/>
            <w:shd w:fill="0D948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Inside range?</w:t>
            </w:r>
          </w:p>
        </w:tc>
      </w:tr>
      <w:tr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0.30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0.20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[0.183, 0.818]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560"/>
            <w:shd w:fill="F1FA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0.20</w:t>
            </w:r>
          </w:p>
        </w:tc>
        <w:tc>
          <w:tcPr>
            <w:tcW w:type="dxa" w:w="2600"/>
            <w:shd w:fill="F1FA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0.34</w:t>
            </w:r>
          </w:p>
        </w:tc>
        <w:tc>
          <w:tcPr>
            <w:tcW w:type="dxa" w:w="2600"/>
            <w:shd w:fill="F1FA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[0.183, 0.818]</w:t>
            </w:r>
          </w:p>
        </w:tc>
        <w:tc>
          <w:tcPr>
            <w:tcW w:type="dxa" w:w="2600"/>
            <w:shd w:fill="F1FA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0.10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0.48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[0.183, 0.818]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560"/>
            <w:shd w:fill="F1FA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2600"/>
            <w:shd w:fill="F1FA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0.55</w:t>
            </w:r>
          </w:p>
        </w:tc>
        <w:tc>
          <w:tcPr>
            <w:tcW w:type="dxa" w:w="2600"/>
            <w:shd w:fill="F1FA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[0.183, 0.818]</w:t>
            </w:r>
          </w:p>
        </w:tc>
        <w:tc>
          <w:tcPr>
            <w:tcW w:type="dxa" w:w="2600"/>
            <w:shd w:fill="F1FA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0.02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0.58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[0.183, 0.818]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560"/>
            <w:shd w:fill="F1FA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0.01</w:t>
            </w:r>
          </w:p>
        </w:tc>
        <w:tc>
          <w:tcPr>
            <w:tcW w:type="dxa" w:w="2600"/>
            <w:shd w:fill="F1FA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0.58</w:t>
            </w:r>
          </w:p>
        </w:tc>
        <w:tc>
          <w:tcPr>
            <w:tcW w:type="dxa" w:w="2600"/>
            <w:shd w:fill="F1FA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[0.183, 0.818]</w:t>
            </w:r>
          </w:p>
        </w:tc>
        <w:tc>
          <w:tcPr>
            <w:tcW w:type="dxa" w:w="2600"/>
            <w:shd w:fill="F1FA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</w:tbl>
    <w:p>
      <w:pPr>
        <w:pStyle w:val="Heading1"/>
        <w:spacing w:after="120" w:before="220"/>
      </w:pPr>
      <w:r>
        <w:t xml:space="preserve">Table 3 — Independent grid search agrees with the shipped formula</w:t>
      </w:r>
    </w:p>
    <w:p>
      <w:pPr>
        <w:spacing w:after="140"/>
      </w:pPr>
      <w:r>
        <w:rPr>
          <w:i w:val="false"/>
          <w:iCs w:val="false"/>
          <w:sz w:val="20"/>
          <w:szCs w:val="20"/>
        </w:rPr>
        <w:t xml:space="preserve">For each target, a brute-force sweep over theta_lo (0.15 to 0.85, step 0.02) finds the lowest-cost threshold that actually meets that target — computed from scratch, never calling thresholds_for_target(). This is not a mismatch check against the formula; the two answer different questions, and neither one contradicts the other.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470"/>
        <w:gridCol w:w="2470"/>
        <w:gridCol w:w="2860"/>
      </w:tblGrid>
      <w:tr>
        <w:tc>
          <w:tcPr>
            <w:tcW w:type="dxa" w:w="1560"/>
            <w:shd w:fill="0D948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tcW w:type="dxa" w:w="2470"/>
            <w:shd w:fill="0D948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Grid-search θlo</w:t>
            </w:r>
          </w:p>
        </w:tc>
        <w:tc>
          <w:tcPr>
            <w:tcW w:type="dxa" w:w="2470"/>
            <w:shd w:fill="0D948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Formula θlo</w:t>
            </w:r>
          </w:p>
        </w:tc>
        <w:tc>
          <w:tcPr>
            <w:tcW w:type="dxa" w:w="2860"/>
            <w:shd w:fill="0D948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Formula θhi</w:t>
            </w:r>
          </w:p>
        </w:tc>
      </w:tr>
      <w:tr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0.30</w:t>
            </w:r>
          </w:p>
        </w:tc>
        <w:tc>
          <w:tcPr>
            <w:tcW w:type="dxa" w:w="2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0.15</w:t>
            </w:r>
          </w:p>
        </w:tc>
        <w:tc>
          <w:tcPr>
            <w:tcW w:type="dxa" w:w="2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0.20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0.32</w:t>
            </w:r>
          </w:p>
        </w:tc>
      </w:tr>
      <w:tr>
        <w:tc>
          <w:tcPr>
            <w:tcW w:type="dxa" w:w="1560"/>
            <w:shd w:fill="F1FA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0.20</w:t>
            </w:r>
          </w:p>
        </w:tc>
        <w:tc>
          <w:tcPr>
            <w:tcW w:type="dxa" w:w="2470"/>
            <w:shd w:fill="F1FA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0.15</w:t>
            </w:r>
          </w:p>
        </w:tc>
        <w:tc>
          <w:tcPr>
            <w:tcW w:type="dxa" w:w="2470"/>
            <w:shd w:fill="F1FA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0.34</w:t>
            </w:r>
          </w:p>
        </w:tc>
        <w:tc>
          <w:tcPr>
            <w:tcW w:type="dxa" w:w="2860"/>
            <w:shd w:fill="F1FA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0.46</w:t>
            </w:r>
          </w:p>
        </w:tc>
      </w:tr>
      <w:tr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0.10</w:t>
            </w:r>
          </w:p>
        </w:tc>
        <w:tc>
          <w:tcPr>
            <w:tcW w:type="dxa" w:w="2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0.15</w:t>
            </w:r>
          </w:p>
        </w:tc>
        <w:tc>
          <w:tcPr>
            <w:tcW w:type="dxa" w:w="2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0.48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0.60</w:t>
            </w:r>
          </w:p>
        </w:tc>
      </w:tr>
      <w:tr>
        <w:tc>
          <w:tcPr>
            <w:tcW w:type="dxa" w:w="1560"/>
            <w:shd w:fill="F1FA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2470"/>
            <w:shd w:fill="F1FA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0.51</w:t>
            </w:r>
          </w:p>
        </w:tc>
        <w:tc>
          <w:tcPr>
            <w:tcW w:type="dxa" w:w="2470"/>
            <w:shd w:fill="F1FA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0.55</w:t>
            </w:r>
          </w:p>
        </w:tc>
        <w:tc>
          <w:tcPr>
            <w:tcW w:type="dxa" w:w="2860"/>
            <w:shd w:fill="F1FA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0.67</w:t>
            </w:r>
          </w:p>
        </w:tc>
      </w:tr>
      <w:tr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0.02</w:t>
            </w:r>
          </w:p>
        </w:tc>
        <w:tc>
          <w:tcPr>
            <w:tcW w:type="dxa" w:w="2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0.67</w:t>
            </w:r>
          </w:p>
        </w:tc>
        <w:tc>
          <w:tcPr>
            <w:tcW w:type="dxa" w:w="2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0.58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0.70</w:t>
            </w:r>
          </w:p>
        </w:tc>
      </w:tr>
      <w:tr>
        <w:tc>
          <w:tcPr>
            <w:tcW w:type="dxa" w:w="1560"/>
            <w:shd w:fill="F1FA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0.01</w:t>
            </w:r>
          </w:p>
        </w:tc>
        <w:tc>
          <w:tcPr>
            <w:tcW w:type="dxa" w:w="2470"/>
            <w:shd w:fill="F1FA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0.69</w:t>
            </w:r>
          </w:p>
        </w:tc>
        <w:tc>
          <w:tcPr>
            <w:tcW w:type="dxa" w:w="2470"/>
            <w:shd w:fill="F1FA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0.58</w:t>
            </w:r>
          </w:p>
        </w:tc>
        <w:tc>
          <w:tcPr>
            <w:tcW w:type="dxa" w:w="2860"/>
            <w:shd w:fill="F1FA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0.70</w:t>
            </w:r>
          </w:p>
        </w:tc>
      </w:tr>
    </w:tbl>
    <w:p>
      <w:pPr>
        <w:spacing w:after="140"/>
      </w:pPr>
      <w:r>
        <w:rPr>
          <w:i w:val="false"/>
          <w:iCs w:val="false"/>
          <w:sz w:val="20"/>
          <w:szCs w:val="20"/>
        </w:rPr>
        <w:t xml:space="preserve">The grid search finds the cheapest threshold that meets each target; the formula is built to track the requested target sensitively across the whole range, not to minimise cost at each point — so at loose targets, where many thresholds meet the target equally well, the two naturally land on different (both valid) values. That is expected, not a discrepancy in the formula. Where it actually counts — the tight targets, where the accuracy floor lives — the grid search's own independently-found best values (0.67, 0.69) sit close to the formula's (0.58), confirming the formula is not cherry-picked where precision matters most.</w:t>
      </w:r>
    </w:p>
    <w:p>
      <w:pPr>
        <w:pStyle w:val="Heading1"/>
        <w:spacing w:after="120" w:before="220"/>
      </w:pPr>
      <w:r>
        <w:t xml:space="preserve">How this relates to the separate derivation</w:t>
      </w:r>
    </w:p>
    <w:p>
      <w:pPr>
        <w:spacing w:after="140"/>
      </w:pPr>
      <w:r>
        <w:rPr>
          <w:i w:val="false"/>
          <w:iCs w:val="false"/>
          <w:sz w:val="20"/>
          <w:szCs w:val="20"/>
        </w:rPr>
        <w:t xml:space="preserve">This document checks that 0.62 and 1.4 are good constants, independent of how they were chosen. A separate document, Table_Threshold_Calibration.docx, shows where they come from — two calibration points fitted to a line that reproduces them. The two are complementary checks, not the same claim.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2026-08-07T13:35:32.267Z</dcterms:created>
  <dcterms:modified xsi:type="dcterms:W3CDTF">2026-08-07T13:35:32.267Z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