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media/image1.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jc w:val="center"/>
      </w:pPr>
      <w:r>
        <w:rPr>
          <w:rFonts w:ascii="Times New Roman" w:hAnsi="Times New Roman"/>
          <w:b/>
          <w:color w:val="C00000"/>
          <w:sz w:val="32"/>
        </w:rPr>
        <w:t>ZENTHIQA: DEEP LEARNING MICROSERVICES FOR</w:t>
        <w:br/>
        <w:t>E-COMMERCE CUSTOMER ANALYTICS</w:t>
      </w:r>
    </w:p>
    <w:p>
      <w:pPr>
        <w:spacing w:before="0" w:after="0"/>
      </w:pPr>
    </w:p>
    <w:p>
      <w:pPr>
        <w:jc w:val="center"/>
      </w:pPr>
      <w:r>
        <w:rPr>
          <w:rFonts w:ascii="Times New Roman" w:hAnsi="Times New Roman"/>
          <w:b w:val="0"/>
          <w:sz w:val="22"/>
        </w:rPr>
        <w:t>A thesis submitted in the partial fulfilment of the requirements for the award in</w:t>
      </w:r>
    </w:p>
    <w:p>
      <w:pPr>
        <w:jc w:val="center"/>
      </w:pPr>
      <w:r>
        <w:rPr>
          <w:rFonts w:ascii="Times New Roman" w:hAnsi="Times New Roman"/>
          <w:b w:val="0"/>
          <w:sz w:val="22"/>
        </w:rPr>
        <w:t>the degree of</w:t>
      </w:r>
    </w:p>
    <w:p>
      <w:pPr>
        <w:spacing w:before="0" w:after="0"/>
      </w:pPr>
    </w:p>
    <w:p>
      <w:pPr>
        <w:jc w:val="center"/>
      </w:pPr>
      <w:r>
        <w:rPr>
          <w:rFonts w:ascii="Times New Roman" w:hAnsi="Times New Roman"/>
          <w:b/>
          <w:sz w:val="26"/>
        </w:rPr>
        <w:t>BACHELOR OF TECHNOLOGY</w:t>
      </w:r>
    </w:p>
    <w:p>
      <w:pPr>
        <w:jc w:val="center"/>
      </w:pPr>
      <w:r>
        <w:rPr>
          <w:rFonts w:ascii="Times New Roman" w:hAnsi="Times New Roman"/>
          <w:b w:val="0"/>
          <w:sz w:val="24"/>
        </w:rPr>
        <w:t>in</w:t>
      </w:r>
    </w:p>
    <w:p>
      <w:pPr>
        <w:jc w:val="center"/>
      </w:pPr>
      <w:r>
        <w:rPr>
          <w:rFonts w:ascii="Times New Roman" w:hAnsi="Times New Roman"/>
          <w:b/>
          <w:color w:val="C00000"/>
          <w:sz w:val="26"/>
        </w:rPr>
        <w:t>ARTIFICIAL INTELLIGENCE AND DATA SCIENCE</w:t>
      </w:r>
    </w:p>
    <w:p>
      <w:pPr>
        <w:spacing w:before="0" w:after="0"/>
      </w:pPr>
    </w:p>
    <w:p>
      <w:pPr>
        <w:jc w:val="center"/>
      </w:pPr>
      <w:r>
        <w:rPr>
          <w:rFonts w:ascii="Times New Roman" w:hAnsi="Times New Roman"/>
          <w:b w:val="0"/>
          <w:sz w:val="24"/>
        </w:rPr>
        <w:t>Submitted by</w:t>
      </w:r>
    </w:p>
    <w:p>
      <w:pPr>
        <w:jc w:val="center"/>
      </w:pPr>
      <w:r>
        <w:rPr>
          <w:rFonts w:ascii="Times New Roman" w:hAnsi="Times New Roman"/>
          <w:b/>
          <w:sz w:val="24"/>
        </w:rPr>
        <w:t>GUDABANDI NITHIN KUMAR          : 23L61A5418</w:t>
      </w:r>
    </w:p>
    <w:p>
      <w:pPr>
        <w:jc w:val="center"/>
      </w:pPr>
      <w:r>
        <w:rPr>
          <w:rFonts w:ascii="Times New Roman" w:hAnsi="Times New Roman"/>
          <w:b/>
          <w:sz w:val="24"/>
        </w:rPr>
        <w:t>BURAVELLI PARDHASARADHI         : 23L61A5408</w:t>
      </w:r>
    </w:p>
    <w:p>
      <w:pPr>
        <w:jc w:val="center"/>
      </w:pPr>
      <w:r>
        <w:rPr>
          <w:rFonts w:ascii="Times New Roman" w:hAnsi="Times New Roman"/>
          <w:b/>
          <w:sz w:val="24"/>
        </w:rPr>
        <w:t>PECHETTI DEVENDRA VENKATA SAI   : 24L65A5406</w:t>
      </w:r>
    </w:p>
    <w:p>
      <w:pPr>
        <w:jc w:val="center"/>
      </w:pPr>
      <w:r>
        <w:rPr>
          <w:rFonts w:ascii="Times New Roman" w:hAnsi="Times New Roman"/>
          <w:b/>
          <w:sz w:val="24"/>
        </w:rPr>
        <w:t>MANTRI UMADEVI                  : 23L61A5425</w:t>
      </w:r>
    </w:p>
    <w:p>
      <w:pPr>
        <w:spacing w:before="0" w:after="0"/>
      </w:pPr>
    </w:p>
    <w:p>
      <w:pPr>
        <w:jc w:val="center"/>
      </w:pPr>
      <w:r>
        <w:rPr>
          <w:rFonts w:ascii="Times New Roman" w:hAnsi="Times New Roman"/>
          <w:b w:val="0"/>
          <w:sz w:val="24"/>
        </w:rPr>
        <w:t>Under the guidance of</w:t>
      </w:r>
    </w:p>
    <w:p>
      <w:pPr>
        <w:jc w:val="center"/>
      </w:pPr>
      <w:r>
        <w:rPr>
          <w:rFonts w:ascii="Times New Roman" w:hAnsi="Times New Roman"/>
          <w:b/>
          <w:sz w:val="24"/>
        </w:rPr>
        <w:t>Mrs. P. Gayatri</w:t>
      </w:r>
    </w:p>
    <w:p>
      <w:pPr>
        <w:jc w:val="center"/>
      </w:pPr>
      <w:r>
        <w:rPr>
          <w:rFonts w:ascii="Times New Roman" w:hAnsi="Times New Roman"/>
          <w:b w:val="0"/>
          <w:sz w:val="22"/>
        </w:rPr>
        <w:t>Assistant Professor, Department of AI &amp; DS</w:t>
      </w:r>
    </w:p>
    <w:p>
      <w:pPr>
        <w:spacing w:before="0" w:after="0"/>
      </w:pPr>
    </w:p>
    <w:p>
      <w:pPr>
        <w:jc w:val="center"/>
      </w:pPr>
      <w:r>
        <w:drawing>
          <wp:inline xmlns:a="http://schemas.openxmlformats.org/drawingml/2006/main" xmlns:pic="http://schemas.openxmlformats.org/drawingml/2006/picture">
            <wp:extent cx="1463040" cy="1463040"/>
            <wp:docPr id="1" name="Picture 1"/>
            <wp:cNvGraphicFramePr>
              <a:graphicFrameLocks noChangeAspect="1"/>
            </wp:cNvGraphicFramePr>
            <a:graphic>
              <a:graphicData uri="http://schemas.openxmlformats.org/drawingml/2006/picture">
                <pic:pic>
                  <pic:nvPicPr>
                    <pic:cNvPr id="0" name="college_logo.jpg"/>
                    <pic:cNvPicPr/>
                  </pic:nvPicPr>
                  <pic:blipFill>
                    <a:blip r:embed="rId9"/>
                    <a:stretch>
                      <a:fillRect/>
                    </a:stretch>
                  </pic:blipFill>
                  <pic:spPr>
                    <a:xfrm>
                      <a:off x="0" y="0"/>
                      <a:ext cx="1463040" cy="1463040"/>
                    </a:xfrm>
                    <a:prstGeom prst="rect"/>
                  </pic:spPr>
                </pic:pic>
              </a:graphicData>
            </a:graphic>
          </wp:inline>
        </w:drawing>
      </w:r>
    </w:p>
    <w:p>
      <w:pPr>
        <w:spacing w:before="0" w:after="0"/>
      </w:pPr>
    </w:p>
    <w:p>
      <w:pPr>
        <w:jc w:val="center"/>
      </w:pPr>
      <w:r>
        <w:rPr>
          <w:rFonts w:ascii="Times New Roman" w:hAnsi="Times New Roman"/>
          <w:b/>
          <w:color w:val="0000CC"/>
          <w:sz w:val="24"/>
        </w:rPr>
        <w:t>DEPARTMENT OF ARTIFICIAL INTELLIGENCE AND DATA SCIENCE</w:t>
      </w:r>
    </w:p>
    <w:p>
      <w:pPr>
        <w:jc w:val="center"/>
      </w:pPr>
      <w:r>
        <w:rPr>
          <w:rFonts w:ascii="Times New Roman" w:hAnsi="Times New Roman"/>
          <w:b/>
          <w:color w:val="0000CC"/>
          <w:sz w:val="24"/>
        </w:rPr>
        <w:t>CHAITANYA ENGINEERING COLLEGE</w:t>
      </w:r>
    </w:p>
    <w:p>
      <w:pPr>
        <w:jc w:val="center"/>
      </w:pPr>
      <w:r>
        <w:rPr>
          <w:rFonts w:ascii="Times New Roman" w:hAnsi="Times New Roman"/>
          <w:b w:val="0"/>
          <w:sz w:val="20"/>
        </w:rPr>
        <w:t>(APPROVED BY AICTE &amp; AFFILIATED TO JNTU GURAJADA, VIZIANAGARAM)</w:t>
      </w:r>
    </w:p>
    <w:p>
      <w:pPr>
        <w:jc w:val="center"/>
      </w:pPr>
      <w:r>
        <w:rPr>
          <w:rFonts w:ascii="Times New Roman" w:hAnsi="Times New Roman"/>
          <w:b/>
          <w:sz w:val="24"/>
        </w:rPr>
        <w:t>2026 – 2027</w:t>
      </w:r>
    </w:p>
    <w:p>
      <w:r>
        <w:br w:type="page"/>
      </w:r>
    </w:p>
    <w:p>
      <w:pPr>
        <w:jc w:val="center"/>
      </w:pPr>
      <w:r>
        <w:rPr>
          <w:rFonts w:ascii="Times New Roman" w:hAnsi="Times New Roman"/>
          <w:b/>
          <w:sz w:val="26"/>
        </w:rPr>
        <w:t>CHAITANYA ENGINEERING COLLEGE</w:t>
      </w:r>
    </w:p>
    <w:p>
      <w:pPr>
        <w:jc w:val="center"/>
      </w:pPr>
      <w:r>
        <w:rPr>
          <w:rFonts w:ascii="Times New Roman" w:hAnsi="Times New Roman"/>
          <w:b w:val="0"/>
          <w:sz w:val="20"/>
        </w:rPr>
        <w:t>(Approved by AICTE, Affiliated to JNTU GURAJADA, VIZIANAGARAM)</w:t>
      </w:r>
    </w:p>
    <w:p>
      <w:pPr>
        <w:spacing w:before="0" w:after="0"/>
      </w:pPr>
    </w:p>
    <w:p>
      <w:pPr>
        <w:jc w:val="center"/>
      </w:pPr>
      <w:r>
        <w:drawing>
          <wp:inline xmlns:a="http://schemas.openxmlformats.org/drawingml/2006/main" xmlns:pic="http://schemas.openxmlformats.org/drawingml/2006/picture">
            <wp:extent cx="1645920" cy="1645920"/>
            <wp:docPr id="2" name="Picture 2"/>
            <wp:cNvGraphicFramePr>
              <a:graphicFrameLocks noChangeAspect="1"/>
            </wp:cNvGraphicFramePr>
            <a:graphic>
              <a:graphicData uri="http://schemas.openxmlformats.org/drawingml/2006/picture">
                <pic:pic>
                  <pic:nvPicPr>
                    <pic:cNvPr id="0" name="college_logo.jpg"/>
                    <pic:cNvPicPr/>
                  </pic:nvPicPr>
                  <pic:blipFill>
                    <a:blip r:embed="rId9"/>
                    <a:stretch>
                      <a:fillRect/>
                    </a:stretch>
                  </pic:blipFill>
                  <pic:spPr>
                    <a:xfrm>
                      <a:off x="0" y="0"/>
                      <a:ext cx="1645920" cy="1645920"/>
                    </a:xfrm>
                    <a:prstGeom prst="rect"/>
                  </pic:spPr>
                </pic:pic>
              </a:graphicData>
            </a:graphic>
          </wp:inline>
        </w:drawing>
      </w:r>
    </w:p>
    <w:p>
      <w:pPr>
        <w:spacing w:before="0" w:after="0"/>
      </w:pPr>
    </w:p>
    <w:p>
      <w:pPr>
        <w:jc w:val="center"/>
      </w:pPr>
      <w:r>
        <w:rPr>
          <w:rFonts w:ascii="Times New Roman" w:hAnsi="Times New Roman"/>
          <w:b/>
          <w:sz w:val="28"/>
        </w:rPr>
        <w:t>BONAFIDE CERTIFICATE</w:t>
      </w:r>
    </w:p>
    <w:p>
      <w:pPr>
        <w:spacing w:before="0" w:after="0"/>
      </w:pPr>
    </w:p>
    <w:p>
      <w:pPr>
        <w:jc w:val="both"/>
      </w:pPr>
      <w:r>
        <w:rPr>
          <w:rFonts w:ascii="Times New Roman" w:hAnsi="Times New Roman"/>
          <w:b w:val="0"/>
          <w:sz w:val="24"/>
        </w:rPr>
        <w:t>This is to certify that the project titled "ZENTHIQA: DEEP LEARNING MICROSERVICES FOR E-COMMERCE CUSTOMER ANALYTICS" is a Bonafide work carried out by G. Nithin Kumar (23L61A5418), B. Pardhasaradhi (23L61A5408), P. Devendra Venkata Sai (24L65A5406), M. Umadevi (23L61A5425) as part of the IV B.Tech, II Semester curriculum in Artificial Intelligence and Data Science during the academic year 2026–2027.</w:t>
      </w:r>
    </w:p>
    <w:p>
      <w:pPr>
        <w:spacing w:before="0" w:after="0"/>
      </w:pPr>
    </w:p>
    <w:p>
      <w:pPr>
        <w:spacing w:before="0" w:after="0"/>
      </w:pP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00"/>
        <w:gridCol w:w="4500"/>
      </w:tblGrid>
      <w:tr>
        <w:tc>
          <w:tcPr>
            <w:tcW w:type="dxa" w:w="4500"/>
          </w:tcPr>
          <w:p>
            <w:r>
              <w:rPr>
                <w:b/>
                <w:sz w:val="22"/>
              </w:rPr>
              <w:t>Project Guide</w:t>
            </w:r>
          </w:p>
        </w:tc>
        <w:tc>
          <w:tcPr>
            <w:tcW w:type="dxa" w:w="4500"/>
          </w:tcPr>
          <w:p>
            <w:r>
              <w:rPr>
                <w:b/>
                <w:sz w:val="22"/>
              </w:rPr>
              <w:t>Head of Department</w:t>
            </w:r>
          </w:p>
        </w:tc>
      </w:tr>
      <w:tr>
        <w:tc>
          <w:tcPr>
            <w:tcW w:type="dxa" w:w="4500"/>
          </w:tcPr>
          <w:p/>
          <w:p>
            <w:r>
              <w:rPr>
                <w:b/>
                <w:sz w:val="22"/>
              </w:rPr>
              <w:t>Mrs. P. Gayatri,</w:t>
            </w:r>
          </w:p>
          <w:p>
            <w:r>
              <w:rPr>
                <w:b w:val="0"/>
                <w:sz w:val="22"/>
              </w:rPr>
              <w:t>Assistant Professor,</w:t>
            </w:r>
          </w:p>
          <w:p>
            <w:r>
              <w:rPr>
                <w:b w:val="0"/>
                <w:sz w:val="22"/>
              </w:rPr>
              <w:t>Department of AI &amp; DS,</w:t>
            </w:r>
          </w:p>
          <w:p>
            <w:r>
              <w:rPr>
                <w:b w:val="0"/>
                <w:sz w:val="22"/>
              </w:rPr>
              <w:t>Chaitanya Engineering College</w:t>
            </w:r>
          </w:p>
        </w:tc>
        <w:tc>
          <w:tcPr>
            <w:tcW w:type="dxa" w:w="4500"/>
          </w:tcPr>
          <w:p/>
          <w:p>
            <w:r>
              <w:rPr>
                <w:b/>
                <w:sz w:val="22"/>
              </w:rPr>
              <w:t>Dr. K.N.S. Lakshmi,</w:t>
            </w:r>
          </w:p>
          <w:p>
            <w:r>
              <w:rPr>
                <w:b w:val="0"/>
                <w:sz w:val="22"/>
              </w:rPr>
              <w:t>Professor &amp; HOD,</w:t>
            </w:r>
          </w:p>
          <w:p>
            <w:r>
              <w:rPr>
                <w:b w:val="0"/>
                <w:sz w:val="22"/>
              </w:rPr>
              <w:t>Department of AI,</w:t>
            </w:r>
          </w:p>
          <w:p>
            <w:r>
              <w:rPr>
                <w:b w:val="0"/>
                <w:sz w:val="22"/>
              </w:rPr>
              <w:t>Chaitanya Engineering College</w:t>
            </w:r>
          </w:p>
        </w:tc>
      </w:tr>
    </w:tbl>
    <w:p>
      <w:pPr>
        <w:spacing w:before="0" w:after="0"/>
      </w:pPr>
    </w:p>
    <w:p>
      <w:pPr>
        <w:jc w:val="left"/>
      </w:pPr>
      <w:r>
        <w:rPr>
          <w:b/>
          <w:sz w:val="22"/>
        </w:rPr>
        <w:t>External Examiner</w:t>
      </w:r>
    </w:p>
    <w:p>
      <w:r>
        <w:br w:type="page"/>
      </w:r>
    </w:p>
    <w:p>
      <w:pPr>
        <w:sectPr>
          <w:pgSz w:w="12240" w:h="15840"/>
          <w:pgMar w:top="1440" w:right="1440" w:bottom="1440" w:left="1800" w:header="720" w:footer="720" w:gutter="0"/>
          <w:cols w:space="720"/>
          <w:docGrid w:linePitch="360"/>
        </w:sectPr>
      </w:pPr>
    </w:p>
    <w:p>
      <w:pPr>
        <w:jc w:val="center"/>
      </w:pPr>
      <w:r>
        <w:rPr>
          <w:rFonts w:ascii="Times New Roman" w:hAnsi="Times New Roman"/>
          <w:b/>
          <w:sz w:val="28"/>
        </w:rPr>
        <w:t>DECLARATION</w:t>
      </w:r>
    </w:p>
    <w:p>
      <w:pPr>
        <w:spacing w:before="0" w:after="0"/>
      </w:pPr>
    </w:p>
    <w:p>
      <w:pPr>
        <w:jc w:val="both"/>
      </w:pPr>
      <w:r>
        <w:rPr>
          <w:rFonts w:ascii="Times New Roman" w:hAnsi="Times New Roman"/>
          <w:b w:val="0"/>
          <w:sz w:val="24"/>
        </w:rPr>
        <w:t>We hereby declare that the project work titled "ZENTHIQA: DEEP LEARNING MICROSERVICES FOR E-COMMERCE CUSTOMER ANALYTICS" submitted to CHAITANYA ENGINEERING COLLEGE is a record of an original work done by G. Nithin Kumar (23L61A5418), B. Pardhasaradhi (23L61A5408), P. Devendra Venkata Sai (24L65A5406), M. Umadevi (23L61A5425) under the esteemed guidance of Mrs. P. Gayatri, Assistant Professor. This project work is submitted in the partial fulfilment of the requirements for the award of the degree Bachelor of Technology in Artificial Intelligence and Data Science. This entire project is done with the best of our knowledge and is not submitted to any University for the award of degree.</w:t>
      </w:r>
    </w:p>
    <w:p>
      <w:pPr>
        <w:spacing w:before="0" w:after="0"/>
      </w:pPr>
    </w:p>
    <w:p>
      <w:pPr>
        <w:spacing w:before="0" w:after="0"/>
      </w:pPr>
    </w:p>
    <w:p>
      <w:pPr>
        <w:jc w:val="right"/>
      </w:pPr>
      <w:r>
        <w:rPr>
          <w:rFonts w:ascii="Times New Roman" w:hAnsi="Times New Roman"/>
          <w:b/>
          <w:sz w:val="24"/>
        </w:rPr>
        <w:t>GUDABANDI NITHIN KUMAR          : 23L61A5418</w:t>
      </w:r>
    </w:p>
    <w:p>
      <w:pPr>
        <w:jc w:val="right"/>
      </w:pPr>
      <w:r>
        <w:rPr>
          <w:rFonts w:ascii="Times New Roman" w:hAnsi="Times New Roman"/>
          <w:b/>
          <w:sz w:val="24"/>
        </w:rPr>
        <w:t>BURAVELLI PARDHASARADHI         : 23L61A5408</w:t>
      </w:r>
    </w:p>
    <w:p>
      <w:pPr>
        <w:jc w:val="right"/>
      </w:pPr>
      <w:r>
        <w:rPr>
          <w:rFonts w:ascii="Times New Roman" w:hAnsi="Times New Roman"/>
          <w:b/>
          <w:sz w:val="24"/>
        </w:rPr>
        <w:t>PECHETTI DEVENDRA VENKATA SAI   : 24L65A5406</w:t>
      </w:r>
    </w:p>
    <w:p>
      <w:pPr>
        <w:jc w:val="right"/>
      </w:pPr>
      <w:r>
        <w:rPr>
          <w:rFonts w:ascii="Times New Roman" w:hAnsi="Times New Roman"/>
          <w:b/>
          <w:sz w:val="24"/>
        </w:rPr>
        <w:t>MANTRI UMADEVI                  : 23L61A5425</w:t>
      </w:r>
    </w:p>
    <w:p>
      <w:r>
        <w:br w:type="page"/>
      </w:r>
    </w:p>
    <w:p>
      <w:pPr>
        <w:jc w:val="center"/>
      </w:pPr>
      <w:r>
        <w:rPr>
          <w:rFonts w:ascii="Times New Roman" w:hAnsi="Times New Roman"/>
          <w:b/>
          <w:sz w:val="28"/>
        </w:rPr>
        <w:t>ACKNOWLEDGEMENT</w:t>
      </w:r>
    </w:p>
    <w:p>
      <w:pPr>
        <w:spacing w:before="0" w:after="0"/>
      </w:pPr>
    </w:p>
    <w:p>
      <w:pPr>
        <w:jc w:val="both"/>
      </w:pPr>
      <w:r>
        <w:rPr>
          <w:rFonts w:ascii="Times New Roman" w:hAnsi="Times New Roman"/>
          <w:b w:val="0"/>
          <w:sz w:val="24"/>
        </w:rPr>
        <w:t>With great solemnity and sincerity, we express our deepest sense of gratitude and pay our sincere thanks to our Project guide Mrs. P. Gayatri, Assistant Professor, Department of Artificial Intelligence and Data Science, Chaitanya Engineering College, who evinced keen interest in our efforts and provided her invaluable guidance throughout our project work.</w:t>
      </w:r>
    </w:p>
    <w:p>
      <w:pPr>
        <w:jc w:val="both"/>
      </w:pPr>
      <w:r>
        <w:rPr>
          <w:rFonts w:ascii="Times New Roman" w:hAnsi="Times New Roman"/>
          <w:b w:val="0"/>
          <w:sz w:val="24"/>
        </w:rPr>
        <w:t>We thank our Dr. K.N.S Lakshmi, Professor, Head of the Department of Artificial Intelligence, who helped us to complete our project work in a truthful and systematic manner, and who consistently motivated us to aim for technical excellence.</w:t>
      </w:r>
    </w:p>
    <w:p>
      <w:pPr>
        <w:jc w:val="both"/>
      </w:pPr>
      <w:r>
        <w:rPr>
          <w:rFonts w:ascii="Times New Roman" w:hAnsi="Times New Roman"/>
          <w:b w:val="0"/>
          <w:sz w:val="24"/>
        </w:rPr>
        <w:t>We extend our sincere gratitude to our principal Dr. K. Suresh, Ph.D., for his kind attention and valuable guidance throughout this academic programme. His leadership has created an environment of innovation and research that greatly benefited our project work.</w:t>
      </w:r>
    </w:p>
    <w:p>
      <w:pPr>
        <w:jc w:val="both"/>
      </w:pPr>
      <w:r>
        <w:rPr>
          <w:rFonts w:ascii="Times New Roman" w:hAnsi="Times New Roman"/>
          <w:b w:val="0"/>
          <w:sz w:val="24"/>
        </w:rPr>
        <w:t>We wish to express gratitude to our Management Members who supported us by providing excellent laboratory infrastructure and facilities, without which the practical implementation of this project would not have been possible.</w:t>
      </w:r>
    </w:p>
    <w:p>
      <w:pPr>
        <w:jc w:val="both"/>
      </w:pPr>
      <w:r>
        <w:rPr>
          <w:rFonts w:ascii="Times New Roman" w:hAnsi="Times New Roman"/>
          <w:b w:val="0"/>
          <w:sz w:val="24"/>
        </w:rPr>
        <w:t>We are also deeply thankful to All Staff Members of the Department of Artificial Intelligence and Data Science, for their direct and indirect support in completing this project work through their valuable suggestions and technical guidance.</w:t>
      </w:r>
    </w:p>
    <w:p>
      <w:pPr>
        <w:jc w:val="both"/>
      </w:pPr>
      <w:r>
        <w:rPr>
          <w:rFonts w:ascii="Times New Roman" w:hAnsi="Times New Roman"/>
          <w:b w:val="0"/>
          <w:sz w:val="24"/>
        </w:rPr>
        <w:t>Above all, we acknowledge our profound gratitude to our parents and families, whose moral support, encouragement, and sacrifices have been the greatest driving force throughout our academic journey.</w:t>
      </w:r>
    </w:p>
    <w:p>
      <w:pPr>
        <w:spacing w:before="0" w:after="0"/>
      </w:pPr>
    </w:p>
    <w:p>
      <w:pPr>
        <w:jc w:val="right"/>
      </w:pPr>
      <w:r>
        <w:rPr>
          <w:rFonts w:ascii="Times New Roman" w:hAnsi="Times New Roman"/>
          <w:b/>
          <w:sz w:val="24"/>
        </w:rPr>
        <w:t>GUDABANDI NITHIN KUMAR          : 23L61A5418</w:t>
      </w:r>
    </w:p>
    <w:p>
      <w:pPr>
        <w:jc w:val="right"/>
      </w:pPr>
      <w:r>
        <w:rPr>
          <w:rFonts w:ascii="Times New Roman" w:hAnsi="Times New Roman"/>
          <w:b/>
          <w:sz w:val="24"/>
        </w:rPr>
        <w:t>BURAVELLI PARDHASARADHI         : 23L61A5408</w:t>
      </w:r>
    </w:p>
    <w:p>
      <w:pPr>
        <w:jc w:val="right"/>
      </w:pPr>
      <w:r>
        <w:rPr>
          <w:rFonts w:ascii="Times New Roman" w:hAnsi="Times New Roman"/>
          <w:b/>
          <w:sz w:val="24"/>
        </w:rPr>
        <w:t>PECHETTI DEVENDRA VENKATA SAI   : 24L65A5406</w:t>
      </w:r>
    </w:p>
    <w:p>
      <w:pPr>
        <w:jc w:val="right"/>
      </w:pPr>
      <w:r>
        <w:rPr>
          <w:rFonts w:ascii="Times New Roman" w:hAnsi="Times New Roman"/>
          <w:b/>
          <w:sz w:val="24"/>
        </w:rPr>
        <w:t>MANTRI UMADEVI                  : 23L61A5425</w:t>
      </w:r>
    </w:p>
    <w:p>
      <w:r>
        <w:br w:type="page"/>
      </w:r>
    </w:p>
    <w:p>
      <w:pPr>
        <w:sectPr>
          <w:headerReference w:type="default" r:id="rId10"/>
          <w:pgSz w:w="12240" w:h="15840"/>
          <w:pgMar w:top="720" w:right="1440" w:bottom="1440" w:left="1800" w:header="720" w:footer="720" w:gutter="0"/>
          <w:cols w:space="720"/>
          <w:docGrid w:linePitch="360"/>
        </w:sectPr>
      </w:pPr>
    </w:p>
    <w:p>
      <w:pPr>
        <w:pStyle w:val="Heading1"/>
        <w:jc w:val="center"/>
      </w:pPr>
      <w:r>
        <w:rPr>
          <w:color w:val="000000"/>
        </w:rPr>
        <w:t>ABSTRACT</w:t>
      </w:r>
    </w:p>
    <w:p>
      <w:pPr>
        <w:spacing w:before="0" w:after="0"/>
      </w:pPr>
    </w:p>
    <w:p>
      <w:pPr>
        <w:jc w:val="both"/>
      </w:pPr>
      <w:r>
        <w:rPr>
          <w:rFonts w:ascii="Times New Roman" w:hAnsi="Times New Roman"/>
          <w:b w:val="0"/>
          <w:sz w:val="24"/>
        </w:rPr>
        <w:t>The rapid expansion of the global e-commerce industry has led to an unprecedented accumulation of customer transactional data. Converting this raw data into strategic business intelligence, particularly the ability to predict future customer behavior, has become a key competitive advantage. Traditional analytical frameworks, such as the RFM (Recency, Frequency, Monetary) model, offer retrospective insights but fail to anticipate future customer actions, leaving businesses reactive rather than proactive.</w:t>
      </w:r>
    </w:p>
    <w:p>
      <w:pPr>
        <w:spacing w:before="0" w:after="0"/>
      </w:pPr>
    </w:p>
    <w:p>
      <w:pPr>
        <w:jc w:val="both"/>
      </w:pPr>
      <w:r>
        <w:rPr>
          <w:rFonts w:ascii="Times New Roman" w:hAnsi="Times New Roman"/>
          <w:b w:val="0"/>
          <w:sz w:val="24"/>
        </w:rPr>
        <w:t>This project presents Zenthiqa, a comprehensive Deep Learning Microservice Platform for E-Commerce Customer Analytics. The core of the system is a Multi-Task Learning (MTL) neural network built using PyTorch, designed to simultaneously predict two highly correlated targets: Customer Lifetime Value (CLV), formulated as a regression problem, and Churn Risk, formulated as a binary classification problem. By sharing internal hidden-layer representations between these two tasks, the model captures the deep, non-linear relationship between a customer's spending trajectory and their risk of abandonment, achieving superior predictive accuracy over isolated single-task models.</w:t>
      </w:r>
    </w:p>
    <w:p>
      <w:pPr>
        <w:spacing w:before="0" w:after="0"/>
      </w:pPr>
    </w:p>
    <w:p>
      <w:pPr>
        <w:jc w:val="both"/>
      </w:pPr>
      <w:r>
        <w:rPr>
          <w:rFonts w:ascii="Times New Roman" w:hAnsi="Times New Roman"/>
          <w:b w:val="0"/>
          <w:sz w:val="24"/>
        </w:rPr>
        <w:t>In addition to the MTL model, Zenthiqa integrates a Neural Collaborative Filtering (NCF) engine for personalized product recommendations, a SHAP-powered What-If Simulator that enables business stakeholders to explore hypothetical intervention scenarios in real time, and an AI-driven automated Win-Back Email generation system that produces personalized retention messages for at-risk customers.</w:t>
      </w:r>
    </w:p>
    <w:p>
      <w:pPr>
        <w:spacing w:before="0" w:after="0"/>
      </w:pPr>
    </w:p>
    <w:p>
      <w:pPr>
        <w:jc w:val="both"/>
      </w:pPr>
      <w:r>
        <w:rPr>
          <w:rFonts w:ascii="Times New Roman" w:hAnsi="Times New Roman"/>
          <w:b w:val="0"/>
          <w:sz w:val="24"/>
        </w:rPr>
        <w:t>The system is built on a modern microservices architecture. The backend is implemented using FastAPI (Python), providing high-performance RESTful API endpoints. The frontend is built with Next.js (React) and TailwindCSS, delivering a highly responsive and interactive dashboard. The platform is deployed on Amazon Web Services (AWS), with the backend on EC2 and all model artifacts stored on S3, provisioned through Terraform.</w:t>
      </w:r>
    </w:p>
    <w:p>
      <w:pPr>
        <w:spacing w:before="0" w:after="0"/>
      </w:pPr>
    </w:p>
    <w:p>
      <w:pPr>
        <w:jc w:val="both"/>
      </w:pPr>
      <w:r>
        <w:rPr>
          <w:rFonts w:ascii="Times New Roman" w:hAnsi="Times New Roman"/>
          <w:b w:val="0"/>
          <w:sz w:val="24"/>
        </w:rPr>
        <w:t>Keywords: Customer Lifetime Value, Churn Prediction, Multi-Task Learning, Neural Collaborative Filtering, Shapley Values, FastAPI, Next.js, AWS, Deep Learning, E-Commerce Analytics.</w:t>
      </w:r>
    </w:p>
    <w:p>
      <w:r>
        <w:br w:type="page"/>
      </w:r>
    </w:p>
    <w:p>
      <w:pPr>
        <w:pStyle w:val="Heading1"/>
        <w:jc w:val="center"/>
      </w:pPr>
      <w:r>
        <w:rPr>
          <w:color w:val="000000"/>
        </w:rPr>
        <w:t>TABLE OF CONTENTS</w:t>
      </w:r>
    </w:p>
    <w:p>
      <w:pPr>
        <w:spacing w:before="0" w:after="0"/>
      </w:pPr>
    </w:p>
    <w:tbl>
      <w:tblPr>
        <w:tblW w:type="auto" w:w="0"/>
        <w:tblLook w:firstColumn="1" w:firstRow="1" w:lastColumn="0" w:lastRow="0" w:noHBand="0" w:noVBand="1" w:val="04A0"/>
      </w:tblPr>
      <w:tblGrid>
        <w:gridCol w:w="4500"/>
        <w:gridCol w:w="4500"/>
      </w:tblGrid>
      <w:tr>
        <w:tc>
          <w:tcPr>
            <w:tcW w:type="dxa" w:w="4500"/>
          </w:tcPr>
          <w:p>
            <w:r>
              <w:rPr>
                <w:rFonts w:ascii="Times New Roman" w:hAnsi="Times New Roman"/>
                <w:b/>
                <w:sz w:val="22"/>
              </w:rPr>
              <w:t>TITLE</w:t>
            </w:r>
          </w:p>
        </w:tc>
        <w:tc>
          <w:tcPr>
            <w:tcW w:type="dxa" w:w="4500"/>
          </w:tcPr>
          <w:p>
            <w:pPr>
              <w:jc w:val="right"/>
            </w:pPr>
            <w:r>
              <w:rPr>
                <w:rFonts w:ascii="Times New Roman" w:hAnsi="Times New Roman"/>
                <w:sz w:val="22"/>
              </w:rPr>
              <w:t>PAGE NO.</w:t>
            </w:r>
          </w:p>
        </w:tc>
      </w:tr>
      <w:tr>
        <w:tc>
          <w:tcPr>
            <w:tcW w:type="dxa" w:w="4500"/>
          </w:tcPr>
          <w:p>
            <w:r>
              <w:rPr>
                <w:rFonts w:ascii="Times New Roman" w:hAnsi="Times New Roman"/>
                <w:b w:val="0"/>
                <w:sz w:val="22"/>
              </w:rPr>
              <w:t>Bonafide Certificate</w:t>
            </w:r>
          </w:p>
        </w:tc>
        <w:tc>
          <w:tcPr>
            <w:tcW w:type="dxa" w:w="4500"/>
          </w:tcPr>
          <w:p>
            <w:pPr>
              <w:jc w:val="right"/>
            </w:pPr>
            <w:r>
              <w:rPr>
                <w:rFonts w:ascii="Times New Roman" w:hAnsi="Times New Roman"/>
                <w:sz w:val="22"/>
              </w:rPr>
              <w:t>i</w:t>
            </w:r>
          </w:p>
        </w:tc>
      </w:tr>
      <w:tr>
        <w:tc>
          <w:tcPr>
            <w:tcW w:type="dxa" w:w="4500"/>
          </w:tcPr>
          <w:p>
            <w:r>
              <w:rPr>
                <w:rFonts w:ascii="Times New Roman" w:hAnsi="Times New Roman"/>
                <w:b w:val="0"/>
                <w:sz w:val="22"/>
              </w:rPr>
              <w:t>Declaration</w:t>
            </w:r>
          </w:p>
        </w:tc>
        <w:tc>
          <w:tcPr>
            <w:tcW w:type="dxa" w:w="4500"/>
          </w:tcPr>
          <w:p>
            <w:pPr>
              <w:jc w:val="right"/>
            </w:pPr>
            <w:r>
              <w:rPr>
                <w:rFonts w:ascii="Times New Roman" w:hAnsi="Times New Roman"/>
                <w:sz w:val="22"/>
              </w:rPr>
              <w:t>ii</w:t>
            </w:r>
          </w:p>
        </w:tc>
      </w:tr>
      <w:tr>
        <w:tc>
          <w:tcPr>
            <w:tcW w:type="dxa" w:w="4500"/>
          </w:tcPr>
          <w:p>
            <w:r>
              <w:rPr>
                <w:rFonts w:ascii="Times New Roman" w:hAnsi="Times New Roman"/>
                <w:b w:val="0"/>
                <w:sz w:val="22"/>
              </w:rPr>
              <w:t>Acknowledgement</w:t>
            </w:r>
          </w:p>
        </w:tc>
        <w:tc>
          <w:tcPr>
            <w:tcW w:type="dxa" w:w="4500"/>
          </w:tcPr>
          <w:p>
            <w:pPr>
              <w:jc w:val="right"/>
            </w:pPr>
            <w:r>
              <w:rPr>
                <w:rFonts w:ascii="Times New Roman" w:hAnsi="Times New Roman"/>
                <w:sz w:val="22"/>
              </w:rPr>
              <w:t>iii</w:t>
            </w:r>
          </w:p>
        </w:tc>
      </w:tr>
      <w:tr>
        <w:tc>
          <w:tcPr>
            <w:tcW w:type="dxa" w:w="4500"/>
          </w:tcPr>
          <w:p>
            <w:r>
              <w:rPr>
                <w:rFonts w:ascii="Times New Roman" w:hAnsi="Times New Roman"/>
                <w:b w:val="0"/>
                <w:sz w:val="22"/>
              </w:rPr>
              <w:t>Abstract</w:t>
            </w:r>
          </w:p>
        </w:tc>
        <w:tc>
          <w:tcPr>
            <w:tcW w:type="dxa" w:w="4500"/>
          </w:tcPr>
          <w:p>
            <w:pPr>
              <w:jc w:val="right"/>
            </w:pPr>
            <w:r>
              <w:rPr>
                <w:rFonts w:ascii="Times New Roman" w:hAnsi="Times New Roman"/>
                <w:sz w:val="22"/>
              </w:rPr>
              <w:t>iv</w:t>
            </w:r>
          </w:p>
        </w:tc>
      </w:tr>
      <w:tr>
        <w:tc>
          <w:tcPr>
            <w:tcW w:type="dxa" w:w="4500"/>
          </w:tcPr>
          <w:p>
            <w:r>
              <w:rPr>
                <w:rFonts w:ascii="Times New Roman" w:hAnsi="Times New Roman"/>
                <w:b w:val="0"/>
                <w:sz w:val="22"/>
              </w:rPr>
              <w:t>List of Figures</w:t>
            </w:r>
          </w:p>
        </w:tc>
        <w:tc>
          <w:tcPr>
            <w:tcW w:type="dxa" w:w="4500"/>
          </w:tcPr>
          <w:p>
            <w:pPr>
              <w:jc w:val="right"/>
            </w:pPr>
            <w:r>
              <w:rPr>
                <w:rFonts w:ascii="Times New Roman" w:hAnsi="Times New Roman"/>
                <w:sz w:val="22"/>
              </w:rPr>
              <w:t>v</w:t>
            </w:r>
          </w:p>
        </w:tc>
      </w:tr>
      <w:tr>
        <w:tc>
          <w:tcPr>
            <w:tcW w:type="dxa" w:w="4500"/>
          </w:tcPr>
          <w:p>
            <w:r>
              <w:rPr>
                <w:rFonts w:ascii="Times New Roman" w:hAnsi="Times New Roman"/>
                <w:b w:val="0"/>
                <w:sz w:val="22"/>
              </w:rPr>
              <w:t>List of Tables</w:t>
            </w:r>
          </w:p>
        </w:tc>
        <w:tc>
          <w:tcPr>
            <w:tcW w:type="dxa" w:w="4500"/>
          </w:tcPr>
          <w:p>
            <w:pPr>
              <w:jc w:val="right"/>
            </w:pPr>
            <w:r>
              <w:rPr>
                <w:rFonts w:ascii="Times New Roman" w:hAnsi="Times New Roman"/>
                <w:sz w:val="22"/>
              </w:rPr>
              <w:t>vi</w:t>
            </w:r>
          </w:p>
        </w:tc>
      </w:tr>
      <w:tr>
        <w:tc>
          <w:tcPr>
            <w:tcW w:type="dxa" w:w="4500"/>
          </w:tcPr>
          <w:p>
            <w:r>
              <w:rPr>
                <w:rFonts w:ascii="Times New Roman" w:hAnsi="Times New Roman"/>
                <w:b/>
                <w:sz w:val="22"/>
              </w:rPr>
              <w:t>CHAPTER 1: INTRODUCTION</w:t>
            </w:r>
          </w:p>
        </w:tc>
        <w:tc>
          <w:tcPr>
            <w:tcW w:type="dxa" w:w="4500"/>
          </w:tcPr>
          <w:p>
            <w:pPr>
              <w:jc w:val="right"/>
            </w:pPr>
            <w:r>
              <w:rPr>
                <w:rFonts w:ascii="Times New Roman" w:hAnsi="Times New Roman"/>
                <w:sz w:val="22"/>
              </w:rPr>
            </w:r>
          </w:p>
        </w:tc>
      </w:tr>
      <w:tr>
        <w:tc>
          <w:tcPr>
            <w:tcW w:type="dxa" w:w="4500"/>
          </w:tcPr>
          <w:p>
            <w:r>
              <w:rPr>
                <w:rFonts w:ascii="Times New Roman" w:hAnsi="Times New Roman"/>
                <w:b w:val="0"/>
                <w:sz w:val="22"/>
              </w:rPr>
              <w:t xml:space="preserve">    1.1 Introduction</w:t>
            </w:r>
          </w:p>
        </w:tc>
        <w:tc>
          <w:tcPr>
            <w:tcW w:type="dxa" w:w="4500"/>
          </w:tcPr>
          <w:p>
            <w:pPr>
              <w:jc w:val="right"/>
            </w:pPr>
            <w:r>
              <w:rPr>
                <w:rFonts w:ascii="Times New Roman" w:hAnsi="Times New Roman"/>
                <w:sz w:val="22"/>
              </w:rPr>
              <w:t>1</w:t>
            </w:r>
          </w:p>
        </w:tc>
      </w:tr>
      <w:tr>
        <w:tc>
          <w:tcPr>
            <w:tcW w:type="dxa" w:w="4500"/>
          </w:tcPr>
          <w:p>
            <w:r>
              <w:rPr>
                <w:rFonts w:ascii="Times New Roman" w:hAnsi="Times New Roman"/>
                <w:b w:val="0"/>
                <w:sz w:val="22"/>
              </w:rPr>
              <w:t xml:space="preserve">    1.2 Purpose</w:t>
            </w:r>
          </w:p>
        </w:tc>
        <w:tc>
          <w:tcPr>
            <w:tcW w:type="dxa" w:w="4500"/>
          </w:tcPr>
          <w:p>
            <w:pPr>
              <w:jc w:val="right"/>
            </w:pPr>
            <w:r>
              <w:rPr>
                <w:rFonts w:ascii="Times New Roman" w:hAnsi="Times New Roman"/>
                <w:sz w:val="22"/>
              </w:rPr>
              <w:t>2</w:t>
            </w:r>
          </w:p>
        </w:tc>
      </w:tr>
      <w:tr>
        <w:tc>
          <w:tcPr>
            <w:tcW w:type="dxa" w:w="4500"/>
          </w:tcPr>
          <w:p>
            <w:r>
              <w:rPr>
                <w:rFonts w:ascii="Times New Roman" w:hAnsi="Times New Roman"/>
                <w:b w:val="0"/>
                <w:sz w:val="22"/>
              </w:rPr>
              <w:t xml:space="preserve">    1.3 Scope</w:t>
            </w:r>
          </w:p>
        </w:tc>
        <w:tc>
          <w:tcPr>
            <w:tcW w:type="dxa" w:w="4500"/>
          </w:tcPr>
          <w:p>
            <w:pPr>
              <w:jc w:val="right"/>
            </w:pPr>
            <w:r>
              <w:rPr>
                <w:rFonts w:ascii="Times New Roman" w:hAnsi="Times New Roman"/>
                <w:sz w:val="22"/>
              </w:rPr>
              <w:t>3</w:t>
            </w:r>
          </w:p>
        </w:tc>
      </w:tr>
      <w:tr>
        <w:tc>
          <w:tcPr>
            <w:tcW w:type="dxa" w:w="4500"/>
          </w:tcPr>
          <w:p>
            <w:r>
              <w:rPr>
                <w:rFonts w:ascii="Times New Roman" w:hAnsi="Times New Roman"/>
                <w:b w:val="0"/>
                <w:sz w:val="22"/>
              </w:rPr>
              <w:t xml:space="preserve">    1.4 Motivation</w:t>
            </w:r>
          </w:p>
        </w:tc>
        <w:tc>
          <w:tcPr>
            <w:tcW w:type="dxa" w:w="4500"/>
          </w:tcPr>
          <w:p>
            <w:pPr>
              <w:jc w:val="right"/>
            </w:pPr>
            <w:r>
              <w:rPr>
                <w:rFonts w:ascii="Times New Roman" w:hAnsi="Times New Roman"/>
                <w:sz w:val="22"/>
              </w:rPr>
              <w:t>3</w:t>
            </w:r>
          </w:p>
        </w:tc>
      </w:tr>
      <w:tr>
        <w:tc>
          <w:tcPr>
            <w:tcW w:type="dxa" w:w="4500"/>
          </w:tcPr>
          <w:p>
            <w:r>
              <w:rPr>
                <w:rFonts w:ascii="Times New Roman" w:hAnsi="Times New Roman"/>
                <w:b w:val="0"/>
                <w:sz w:val="22"/>
              </w:rPr>
              <w:t xml:space="preserve">    1.5 Proposed System</w:t>
            </w:r>
          </w:p>
        </w:tc>
        <w:tc>
          <w:tcPr>
            <w:tcW w:type="dxa" w:w="4500"/>
          </w:tcPr>
          <w:p>
            <w:pPr>
              <w:jc w:val="right"/>
            </w:pPr>
            <w:r>
              <w:rPr>
                <w:rFonts w:ascii="Times New Roman" w:hAnsi="Times New Roman"/>
                <w:sz w:val="22"/>
              </w:rPr>
              <w:t>4</w:t>
            </w:r>
          </w:p>
        </w:tc>
      </w:tr>
      <w:tr>
        <w:tc>
          <w:tcPr>
            <w:tcW w:type="dxa" w:w="4500"/>
          </w:tcPr>
          <w:p>
            <w:r>
              <w:rPr>
                <w:rFonts w:ascii="Times New Roman" w:hAnsi="Times New Roman"/>
                <w:b/>
                <w:sz w:val="22"/>
              </w:rPr>
              <w:t>CHAPTER 2: LITERATURE SURVEY</w:t>
            </w:r>
          </w:p>
        </w:tc>
        <w:tc>
          <w:tcPr>
            <w:tcW w:type="dxa" w:w="4500"/>
          </w:tcPr>
          <w:p>
            <w:pPr>
              <w:jc w:val="right"/>
            </w:pPr>
            <w:r>
              <w:rPr>
                <w:rFonts w:ascii="Times New Roman" w:hAnsi="Times New Roman"/>
                <w:sz w:val="22"/>
              </w:rPr>
            </w:r>
          </w:p>
        </w:tc>
      </w:tr>
      <w:tr>
        <w:tc>
          <w:tcPr>
            <w:tcW w:type="dxa" w:w="4500"/>
          </w:tcPr>
          <w:p>
            <w:r>
              <w:rPr>
                <w:rFonts w:ascii="Times New Roman" w:hAnsi="Times New Roman"/>
                <w:b w:val="0"/>
                <w:sz w:val="22"/>
              </w:rPr>
              <w:t xml:space="preserve">    2.1 Introduction to Literature Survey</w:t>
            </w:r>
          </w:p>
        </w:tc>
        <w:tc>
          <w:tcPr>
            <w:tcW w:type="dxa" w:w="4500"/>
          </w:tcPr>
          <w:p>
            <w:pPr>
              <w:jc w:val="right"/>
            </w:pPr>
            <w:r>
              <w:rPr>
                <w:rFonts w:ascii="Times New Roman" w:hAnsi="Times New Roman"/>
                <w:sz w:val="22"/>
              </w:rPr>
              <w:t>6</w:t>
            </w:r>
          </w:p>
        </w:tc>
      </w:tr>
      <w:tr>
        <w:tc>
          <w:tcPr>
            <w:tcW w:type="dxa" w:w="4500"/>
          </w:tcPr>
          <w:p>
            <w:r>
              <w:rPr>
                <w:rFonts w:ascii="Times New Roman" w:hAnsi="Times New Roman"/>
                <w:b w:val="0"/>
                <w:sz w:val="22"/>
              </w:rPr>
              <w:t xml:space="preserve">    2.2 Literature Survey</w:t>
            </w:r>
          </w:p>
        </w:tc>
        <w:tc>
          <w:tcPr>
            <w:tcW w:type="dxa" w:w="4500"/>
          </w:tcPr>
          <w:p>
            <w:pPr>
              <w:jc w:val="right"/>
            </w:pPr>
            <w:r>
              <w:rPr>
                <w:rFonts w:ascii="Times New Roman" w:hAnsi="Times New Roman"/>
                <w:sz w:val="22"/>
              </w:rPr>
              <w:t>6</w:t>
            </w:r>
          </w:p>
        </w:tc>
      </w:tr>
      <w:tr>
        <w:tc>
          <w:tcPr>
            <w:tcW w:type="dxa" w:w="4500"/>
          </w:tcPr>
          <w:p>
            <w:r>
              <w:rPr>
                <w:rFonts w:ascii="Times New Roman" w:hAnsi="Times New Roman"/>
                <w:b w:val="0"/>
                <w:sz w:val="22"/>
              </w:rPr>
              <w:t xml:space="preserve">    2.3 Research Gap and Motivation</w:t>
            </w:r>
          </w:p>
        </w:tc>
        <w:tc>
          <w:tcPr>
            <w:tcW w:type="dxa" w:w="4500"/>
          </w:tcPr>
          <w:p>
            <w:pPr>
              <w:jc w:val="right"/>
            </w:pPr>
            <w:r>
              <w:rPr>
                <w:rFonts w:ascii="Times New Roman" w:hAnsi="Times New Roman"/>
                <w:sz w:val="22"/>
              </w:rPr>
              <w:t>12</w:t>
            </w:r>
          </w:p>
        </w:tc>
      </w:tr>
      <w:tr>
        <w:tc>
          <w:tcPr>
            <w:tcW w:type="dxa" w:w="4500"/>
          </w:tcPr>
          <w:p>
            <w:r>
              <w:rPr>
                <w:rFonts w:ascii="Times New Roman" w:hAnsi="Times New Roman"/>
                <w:b/>
                <w:sz w:val="22"/>
              </w:rPr>
              <w:t>CHAPTER 3: SYSTEM ANALYSIS</w:t>
            </w:r>
          </w:p>
        </w:tc>
        <w:tc>
          <w:tcPr>
            <w:tcW w:type="dxa" w:w="4500"/>
          </w:tcPr>
          <w:p>
            <w:pPr>
              <w:jc w:val="right"/>
            </w:pPr>
            <w:r>
              <w:rPr>
                <w:rFonts w:ascii="Times New Roman" w:hAnsi="Times New Roman"/>
                <w:sz w:val="22"/>
              </w:rPr>
            </w:r>
          </w:p>
        </w:tc>
      </w:tr>
      <w:tr>
        <w:tc>
          <w:tcPr>
            <w:tcW w:type="dxa" w:w="4500"/>
          </w:tcPr>
          <w:p>
            <w:r>
              <w:rPr>
                <w:rFonts w:ascii="Times New Roman" w:hAnsi="Times New Roman"/>
                <w:b w:val="0"/>
                <w:sz w:val="22"/>
              </w:rPr>
              <w:t xml:space="preserve">    3.1 Introduction</w:t>
            </w:r>
          </w:p>
        </w:tc>
        <w:tc>
          <w:tcPr>
            <w:tcW w:type="dxa" w:w="4500"/>
          </w:tcPr>
          <w:p>
            <w:pPr>
              <w:jc w:val="right"/>
            </w:pPr>
            <w:r>
              <w:rPr>
                <w:rFonts w:ascii="Times New Roman" w:hAnsi="Times New Roman"/>
                <w:sz w:val="22"/>
              </w:rPr>
              <w:t>13</w:t>
            </w:r>
          </w:p>
        </w:tc>
      </w:tr>
      <w:tr>
        <w:tc>
          <w:tcPr>
            <w:tcW w:type="dxa" w:w="4500"/>
          </w:tcPr>
          <w:p>
            <w:r>
              <w:rPr>
                <w:rFonts w:ascii="Times New Roman" w:hAnsi="Times New Roman"/>
                <w:b w:val="0"/>
                <w:sz w:val="22"/>
              </w:rPr>
              <w:t xml:space="preserve">    3.2 Problem Statement</w:t>
            </w:r>
          </w:p>
        </w:tc>
        <w:tc>
          <w:tcPr>
            <w:tcW w:type="dxa" w:w="4500"/>
          </w:tcPr>
          <w:p>
            <w:pPr>
              <w:jc w:val="right"/>
            </w:pPr>
            <w:r>
              <w:rPr>
                <w:rFonts w:ascii="Times New Roman" w:hAnsi="Times New Roman"/>
                <w:sz w:val="22"/>
              </w:rPr>
              <w:t>13</w:t>
            </w:r>
          </w:p>
        </w:tc>
      </w:tr>
      <w:tr>
        <w:tc>
          <w:tcPr>
            <w:tcW w:type="dxa" w:w="4500"/>
          </w:tcPr>
          <w:p>
            <w:r>
              <w:rPr>
                <w:rFonts w:ascii="Times New Roman" w:hAnsi="Times New Roman"/>
                <w:b w:val="0"/>
                <w:sz w:val="22"/>
              </w:rPr>
              <w:t xml:space="preserve">    3.3 Existing System</w:t>
            </w:r>
          </w:p>
        </w:tc>
        <w:tc>
          <w:tcPr>
            <w:tcW w:type="dxa" w:w="4500"/>
          </w:tcPr>
          <w:p>
            <w:pPr>
              <w:jc w:val="right"/>
            </w:pPr>
            <w:r>
              <w:rPr>
                <w:rFonts w:ascii="Times New Roman" w:hAnsi="Times New Roman"/>
                <w:sz w:val="22"/>
              </w:rPr>
              <w:t>14</w:t>
            </w:r>
          </w:p>
        </w:tc>
      </w:tr>
      <w:tr>
        <w:tc>
          <w:tcPr>
            <w:tcW w:type="dxa" w:w="4500"/>
          </w:tcPr>
          <w:p>
            <w:r>
              <w:rPr>
                <w:rFonts w:ascii="Times New Roman" w:hAnsi="Times New Roman"/>
                <w:b w:val="0"/>
                <w:sz w:val="22"/>
              </w:rPr>
              <w:t xml:space="preserve">    3.4 System Requirements Analysis</w:t>
            </w:r>
          </w:p>
        </w:tc>
        <w:tc>
          <w:tcPr>
            <w:tcW w:type="dxa" w:w="4500"/>
          </w:tcPr>
          <w:p>
            <w:pPr>
              <w:jc w:val="right"/>
            </w:pPr>
            <w:r>
              <w:rPr>
                <w:rFonts w:ascii="Times New Roman" w:hAnsi="Times New Roman"/>
                <w:sz w:val="22"/>
              </w:rPr>
              <w:t>15</w:t>
            </w:r>
          </w:p>
        </w:tc>
      </w:tr>
      <w:tr>
        <w:tc>
          <w:tcPr>
            <w:tcW w:type="dxa" w:w="4500"/>
          </w:tcPr>
          <w:p>
            <w:r>
              <w:rPr>
                <w:rFonts w:ascii="Times New Roman" w:hAnsi="Times New Roman"/>
                <w:b w:val="0"/>
                <w:sz w:val="22"/>
              </w:rPr>
              <w:t xml:space="preserve">        3.4.1 Functional Requirements</w:t>
            </w:r>
          </w:p>
        </w:tc>
        <w:tc>
          <w:tcPr>
            <w:tcW w:type="dxa" w:w="4500"/>
          </w:tcPr>
          <w:p>
            <w:pPr>
              <w:jc w:val="right"/>
            </w:pPr>
            <w:r>
              <w:rPr>
                <w:rFonts w:ascii="Times New Roman" w:hAnsi="Times New Roman"/>
                <w:sz w:val="22"/>
              </w:rPr>
              <w:t>15</w:t>
            </w:r>
          </w:p>
        </w:tc>
      </w:tr>
      <w:tr>
        <w:tc>
          <w:tcPr>
            <w:tcW w:type="dxa" w:w="4500"/>
          </w:tcPr>
          <w:p>
            <w:r>
              <w:rPr>
                <w:rFonts w:ascii="Times New Roman" w:hAnsi="Times New Roman"/>
                <w:b w:val="0"/>
                <w:sz w:val="22"/>
              </w:rPr>
              <w:t xml:space="preserve">        3.4.2 Non-Functional Requirements</w:t>
            </w:r>
          </w:p>
        </w:tc>
        <w:tc>
          <w:tcPr>
            <w:tcW w:type="dxa" w:w="4500"/>
          </w:tcPr>
          <w:p>
            <w:pPr>
              <w:jc w:val="right"/>
            </w:pPr>
            <w:r>
              <w:rPr>
                <w:rFonts w:ascii="Times New Roman" w:hAnsi="Times New Roman"/>
                <w:sz w:val="22"/>
              </w:rPr>
              <w:t>16</w:t>
            </w:r>
          </w:p>
        </w:tc>
      </w:tr>
      <w:tr>
        <w:tc>
          <w:tcPr>
            <w:tcW w:type="dxa" w:w="4500"/>
          </w:tcPr>
          <w:p>
            <w:r>
              <w:rPr>
                <w:rFonts w:ascii="Times New Roman" w:hAnsi="Times New Roman"/>
                <w:b w:val="0"/>
                <w:sz w:val="22"/>
              </w:rPr>
              <w:t xml:space="preserve">    3.5 Feasibility Analysis</w:t>
            </w:r>
          </w:p>
        </w:tc>
        <w:tc>
          <w:tcPr>
            <w:tcW w:type="dxa" w:w="4500"/>
          </w:tcPr>
          <w:p>
            <w:pPr>
              <w:jc w:val="right"/>
            </w:pPr>
            <w:r>
              <w:rPr>
                <w:rFonts w:ascii="Times New Roman" w:hAnsi="Times New Roman"/>
                <w:sz w:val="22"/>
              </w:rPr>
              <w:t>17</w:t>
            </w:r>
          </w:p>
        </w:tc>
      </w:tr>
      <w:tr>
        <w:tc>
          <w:tcPr>
            <w:tcW w:type="dxa" w:w="4500"/>
          </w:tcPr>
          <w:p>
            <w:r>
              <w:rPr>
                <w:rFonts w:ascii="Times New Roman" w:hAnsi="Times New Roman"/>
                <w:b w:val="0"/>
                <w:sz w:val="22"/>
              </w:rPr>
              <w:t xml:space="preserve">        3.5.1 Technical Feasibility</w:t>
            </w:r>
          </w:p>
        </w:tc>
        <w:tc>
          <w:tcPr>
            <w:tcW w:type="dxa" w:w="4500"/>
          </w:tcPr>
          <w:p>
            <w:pPr>
              <w:jc w:val="right"/>
            </w:pPr>
            <w:r>
              <w:rPr>
                <w:rFonts w:ascii="Times New Roman" w:hAnsi="Times New Roman"/>
                <w:sz w:val="22"/>
              </w:rPr>
              <w:t>17</w:t>
            </w:r>
          </w:p>
        </w:tc>
      </w:tr>
      <w:tr>
        <w:tc>
          <w:tcPr>
            <w:tcW w:type="dxa" w:w="4500"/>
          </w:tcPr>
          <w:p>
            <w:r>
              <w:rPr>
                <w:rFonts w:ascii="Times New Roman" w:hAnsi="Times New Roman"/>
                <w:b w:val="0"/>
                <w:sz w:val="22"/>
              </w:rPr>
              <w:t xml:space="preserve">        3.5.2 Operational Feasibility</w:t>
            </w:r>
          </w:p>
        </w:tc>
        <w:tc>
          <w:tcPr>
            <w:tcW w:type="dxa" w:w="4500"/>
          </w:tcPr>
          <w:p>
            <w:pPr>
              <w:jc w:val="right"/>
            </w:pPr>
            <w:r>
              <w:rPr>
                <w:rFonts w:ascii="Times New Roman" w:hAnsi="Times New Roman"/>
                <w:sz w:val="22"/>
              </w:rPr>
              <w:t>17</w:t>
            </w:r>
          </w:p>
        </w:tc>
      </w:tr>
      <w:tr>
        <w:tc>
          <w:tcPr>
            <w:tcW w:type="dxa" w:w="4500"/>
          </w:tcPr>
          <w:p>
            <w:r>
              <w:rPr>
                <w:rFonts w:ascii="Times New Roman" w:hAnsi="Times New Roman"/>
                <w:b w:val="0"/>
                <w:sz w:val="22"/>
              </w:rPr>
              <w:t xml:space="preserve">        3.5.3 Economic Feasibility</w:t>
            </w:r>
          </w:p>
        </w:tc>
        <w:tc>
          <w:tcPr>
            <w:tcW w:type="dxa" w:w="4500"/>
          </w:tcPr>
          <w:p>
            <w:pPr>
              <w:jc w:val="right"/>
            </w:pPr>
            <w:r>
              <w:rPr>
                <w:rFonts w:ascii="Times New Roman" w:hAnsi="Times New Roman"/>
                <w:sz w:val="22"/>
              </w:rPr>
              <w:t>18</w:t>
            </w:r>
          </w:p>
        </w:tc>
      </w:tr>
      <w:tr>
        <w:tc>
          <w:tcPr>
            <w:tcW w:type="dxa" w:w="4500"/>
          </w:tcPr>
          <w:p>
            <w:r>
              <w:rPr>
                <w:rFonts w:ascii="Times New Roman" w:hAnsi="Times New Roman"/>
                <w:b w:val="0"/>
                <w:sz w:val="22"/>
              </w:rPr>
              <w:t xml:space="preserve">        3.5.4 Time Feasibility</w:t>
            </w:r>
          </w:p>
        </w:tc>
        <w:tc>
          <w:tcPr>
            <w:tcW w:type="dxa" w:w="4500"/>
          </w:tcPr>
          <w:p>
            <w:pPr>
              <w:jc w:val="right"/>
            </w:pPr>
            <w:r>
              <w:rPr>
                <w:rFonts w:ascii="Times New Roman" w:hAnsi="Times New Roman"/>
                <w:sz w:val="22"/>
              </w:rPr>
              <w:t>18</w:t>
            </w:r>
          </w:p>
        </w:tc>
      </w:tr>
      <w:tr>
        <w:tc>
          <w:tcPr>
            <w:tcW w:type="dxa" w:w="4500"/>
          </w:tcPr>
          <w:p>
            <w:r>
              <w:rPr>
                <w:rFonts w:ascii="Times New Roman" w:hAnsi="Times New Roman"/>
                <w:b w:val="0"/>
                <w:sz w:val="22"/>
              </w:rPr>
              <w:t xml:space="preserve">    3.6 Modules</w:t>
            </w:r>
          </w:p>
        </w:tc>
        <w:tc>
          <w:tcPr>
            <w:tcW w:type="dxa" w:w="4500"/>
          </w:tcPr>
          <w:p>
            <w:pPr>
              <w:jc w:val="right"/>
            </w:pPr>
            <w:r>
              <w:rPr>
                <w:rFonts w:ascii="Times New Roman" w:hAnsi="Times New Roman"/>
                <w:sz w:val="22"/>
              </w:rPr>
              <w:t>18</w:t>
            </w:r>
          </w:p>
        </w:tc>
      </w:tr>
      <w:tr>
        <w:tc>
          <w:tcPr>
            <w:tcW w:type="dxa" w:w="4500"/>
          </w:tcPr>
          <w:p>
            <w:r>
              <w:rPr>
                <w:rFonts w:ascii="Times New Roman" w:hAnsi="Times New Roman"/>
                <w:b/>
                <w:sz w:val="22"/>
              </w:rPr>
              <w:t>CHAPTER 4: SYSTEM REQUIREMENTS</w:t>
            </w:r>
          </w:p>
        </w:tc>
        <w:tc>
          <w:tcPr>
            <w:tcW w:type="dxa" w:w="4500"/>
          </w:tcPr>
          <w:p>
            <w:pPr>
              <w:jc w:val="right"/>
            </w:pPr>
            <w:r>
              <w:rPr>
                <w:rFonts w:ascii="Times New Roman" w:hAnsi="Times New Roman"/>
                <w:sz w:val="22"/>
              </w:rPr>
            </w:r>
          </w:p>
        </w:tc>
      </w:tr>
      <w:tr>
        <w:tc>
          <w:tcPr>
            <w:tcW w:type="dxa" w:w="4500"/>
          </w:tcPr>
          <w:p>
            <w:r>
              <w:rPr>
                <w:rFonts w:ascii="Times New Roman" w:hAnsi="Times New Roman"/>
                <w:b w:val="0"/>
                <w:sz w:val="22"/>
              </w:rPr>
              <w:t xml:space="preserve">    4.1 Software Requirements</w:t>
            </w:r>
          </w:p>
        </w:tc>
        <w:tc>
          <w:tcPr>
            <w:tcW w:type="dxa" w:w="4500"/>
          </w:tcPr>
          <w:p>
            <w:pPr>
              <w:jc w:val="right"/>
            </w:pPr>
            <w:r>
              <w:rPr>
                <w:rFonts w:ascii="Times New Roman" w:hAnsi="Times New Roman"/>
                <w:sz w:val="22"/>
              </w:rPr>
              <w:t>21</w:t>
            </w:r>
          </w:p>
        </w:tc>
      </w:tr>
      <w:tr>
        <w:tc>
          <w:tcPr>
            <w:tcW w:type="dxa" w:w="4500"/>
          </w:tcPr>
          <w:p>
            <w:r>
              <w:rPr>
                <w:rFonts w:ascii="Times New Roman" w:hAnsi="Times New Roman"/>
                <w:b w:val="0"/>
                <w:sz w:val="22"/>
              </w:rPr>
              <w:t xml:space="preserve">    4.2 Hardware Requirements</w:t>
            </w:r>
          </w:p>
        </w:tc>
        <w:tc>
          <w:tcPr>
            <w:tcW w:type="dxa" w:w="4500"/>
          </w:tcPr>
          <w:p>
            <w:pPr>
              <w:jc w:val="right"/>
            </w:pPr>
            <w:r>
              <w:rPr>
                <w:rFonts w:ascii="Times New Roman" w:hAnsi="Times New Roman"/>
                <w:sz w:val="22"/>
              </w:rPr>
              <w:t>22</w:t>
            </w:r>
          </w:p>
        </w:tc>
      </w:tr>
      <w:tr>
        <w:tc>
          <w:tcPr>
            <w:tcW w:type="dxa" w:w="4500"/>
          </w:tcPr>
          <w:p>
            <w:r>
              <w:rPr>
                <w:rFonts w:ascii="Times New Roman" w:hAnsi="Times New Roman"/>
                <w:b w:val="0"/>
                <w:sz w:val="22"/>
              </w:rPr>
              <w:t xml:space="preserve">    4.3 Project Prerequisites</w:t>
            </w:r>
          </w:p>
        </w:tc>
        <w:tc>
          <w:tcPr>
            <w:tcW w:type="dxa" w:w="4500"/>
          </w:tcPr>
          <w:p>
            <w:pPr>
              <w:jc w:val="right"/>
            </w:pPr>
            <w:r>
              <w:rPr>
                <w:rFonts w:ascii="Times New Roman" w:hAnsi="Times New Roman"/>
                <w:sz w:val="22"/>
              </w:rPr>
              <w:t>23</w:t>
            </w:r>
          </w:p>
        </w:tc>
      </w:tr>
      <w:tr>
        <w:tc>
          <w:tcPr>
            <w:tcW w:type="dxa" w:w="4500"/>
          </w:tcPr>
          <w:p>
            <w:r>
              <w:rPr>
                <w:rFonts w:ascii="Times New Roman" w:hAnsi="Times New Roman"/>
                <w:b w:val="0"/>
                <w:sz w:val="22"/>
              </w:rPr>
              <w:t xml:space="preserve">    4.4 Functional Requirements</w:t>
            </w:r>
          </w:p>
        </w:tc>
        <w:tc>
          <w:tcPr>
            <w:tcW w:type="dxa" w:w="4500"/>
          </w:tcPr>
          <w:p>
            <w:pPr>
              <w:jc w:val="right"/>
            </w:pPr>
            <w:r>
              <w:rPr>
                <w:rFonts w:ascii="Times New Roman" w:hAnsi="Times New Roman"/>
                <w:sz w:val="22"/>
              </w:rPr>
              <w:t>23</w:t>
            </w:r>
          </w:p>
        </w:tc>
      </w:tr>
      <w:tr>
        <w:tc>
          <w:tcPr>
            <w:tcW w:type="dxa" w:w="4500"/>
          </w:tcPr>
          <w:p>
            <w:r>
              <w:rPr>
                <w:rFonts w:ascii="Times New Roman" w:hAnsi="Times New Roman"/>
                <w:b w:val="0"/>
                <w:sz w:val="22"/>
              </w:rPr>
              <w:t xml:space="preserve">    4.5 Non-Functional Requirements</w:t>
            </w:r>
          </w:p>
        </w:tc>
        <w:tc>
          <w:tcPr>
            <w:tcW w:type="dxa" w:w="4500"/>
          </w:tcPr>
          <w:p>
            <w:pPr>
              <w:jc w:val="right"/>
            </w:pPr>
            <w:r>
              <w:rPr>
                <w:rFonts w:ascii="Times New Roman" w:hAnsi="Times New Roman"/>
                <w:sz w:val="22"/>
              </w:rPr>
              <w:t>24</w:t>
            </w:r>
          </w:p>
        </w:tc>
      </w:tr>
      <w:tr>
        <w:tc>
          <w:tcPr>
            <w:tcW w:type="dxa" w:w="4500"/>
          </w:tcPr>
          <w:p>
            <w:r>
              <w:rPr>
                <w:rFonts w:ascii="Times New Roman" w:hAnsi="Times New Roman"/>
                <w:b w:val="0"/>
                <w:sz w:val="22"/>
              </w:rPr>
              <w:t xml:space="preserve">    4.6 Implementation Challenges Faced</w:t>
            </w:r>
          </w:p>
        </w:tc>
        <w:tc>
          <w:tcPr>
            <w:tcW w:type="dxa" w:w="4500"/>
          </w:tcPr>
          <w:p>
            <w:pPr>
              <w:jc w:val="right"/>
            </w:pPr>
            <w:r>
              <w:rPr>
                <w:rFonts w:ascii="Times New Roman" w:hAnsi="Times New Roman"/>
                <w:sz w:val="22"/>
              </w:rPr>
              <w:t>24</w:t>
            </w:r>
          </w:p>
        </w:tc>
      </w:tr>
      <w:tr>
        <w:tc>
          <w:tcPr>
            <w:tcW w:type="dxa" w:w="4500"/>
          </w:tcPr>
          <w:p>
            <w:r>
              <w:rPr>
                <w:rFonts w:ascii="Times New Roman" w:hAnsi="Times New Roman"/>
                <w:b/>
                <w:sz w:val="22"/>
              </w:rPr>
              <w:t>CHAPTER 5: SYSTEM DESIGN</w:t>
            </w:r>
          </w:p>
        </w:tc>
        <w:tc>
          <w:tcPr>
            <w:tcW w:type="dxa" w:w="4500"/>
          </w:tcPr>
          <w:p>
            <w:pPr>
              <w:jc w:val="right"/>
            </w:pPr>
            <w:r>
              <w:rPr>
                <w:rFonts w:ascii="Times New Roman" w:hAnsi="Times New Roman"/>
                <w:sz w:val="22"/>
              </w:rPr>
            </w:r>
          </w:p>
        </w:tc>
      </w:tr>
      <w:tr>
        <w:tc>
          <w:tcPr>
            <w:tcW w:type="dxa" w:w="4500"/>
          </w:tcPr>
          <w:p>
            <w:r>
              <w:rPr>
                <w:rFonts w:ascii="Times New Roman" w:hAnsi="Times New Roman"/>
                <w:b w:val="0"/>
                <w:sz w:val="22"/>
              </w:rPr>
              <w:t xml:space="preserve">    5.1 Introduction</w:t>
            </w:r>
          </w:p>
        </w:tc>
        <w:tc>
          <w:tcPr>
            <w:tcW w:type="dxa" w:w="4500"/>
          </w:tcPr>
          <w:p>
            <w:pPr>
              <w:jc w:val="right"/>
            </w:pPr>
            <w:r>
              <w:rPr>
                <w:rFonts w:ascii="Times New Roman" w:hAnsi="Times New Roman"/>
                <w:sz w:val="22"/>
              </w:rPr>
              <w:t>25</w:t>
            </w:r>
          </w:p>
        </w:tc>
      </w:tr>
      <w:tr>
        <w:tc>
          <w:tcPr>
            <w:tcW w:type="dxa" w:w="4500"/>
          </w:tcPr>
          <w:p>
            <w:r>
              <w:rPr>
                <w:rFonts w:ascii="Times New Roman" w:hAnsi="Times New Roman"/>
                <w:b w:val="0"/>
                <w:sz w:val="22"/>
              </w:rPr>
              <w:t xml:space="preserve">    5.2 System Model</w:t>
            </w:r>
          </w:p>
        </w:tc>
        <w:tc>
          <w:tcPr>
            <w:tcW w:type="dxa" w:w="4500"/>
          </w:tcPr>
          <w:p>
            <w:pPr>
              <w:jc w:val="right"/>
            </w:pPr>
            <w:r>
              <w:rPr>
                <w:rFonts w:ascii="Times New Roman" w:hAnsi="Times New Roman"/>
                <w:sz w:val="22"/>
              </w:rPr>
              <w:t>25</w:t>
            </w:r>
          </w:p>
        </w:tc>
      </w:tr>
      <w:tr>
        <w:tc>
          <w:tcPr>
            <w:tcW w:type="dxa" w:w="4500"/>
          </w:tcPr>
          <w:p>
            <w:r>
              <w:rPr>
                <w:rFonts w:ascii="Times New Roman" w:hAnsi="Times New Roman"/>
                <w:b w:val="0"/>
                <w:sz w:val="22"/>
              </w:rPr>
              <w:t xml:space="preserve">        5.2.1 Components of the System Model</w:t>
            </w:r>
          </w:p>
        </w:tc>
        <w:tc>
          <w:tcPr>
            <w:tcW w:type="dxa" w:w="4500"/>
          </w:tcPr>
          <w:p>
            <w:pPr>
              <w:jc w:val="right"/>
            </w:pPr>
            <w:r>
              <w:rPr>
                <w:rFonts w:ascii="Times New Roman" w:hAnsi="Times New Roman"/>
                <w:sz w:val="22"/>
              </w:rPr>
              <w:t>25</w:t>
            </w:r>
          </w:p>
        </w:tc>
      </w:tr>
      <w:tr>
        <w:tc>
          <w:tcPr>
            <w:tcW w:type="dxa" w:w="4500"/>
          </w:tcPr>
          <w:p>
            <w:r>
              <w:rPr>
                <w:rFonts w:ascii="Times New Roman" w:hAnsi="Times New Roman"/>
                <w:b w:val="0"/>
                <w:sz w:val="22"/>
              </w:rPr>
              <w:t xml:space="preserve">        5.2.2 Features of the System Model</w:t>
            </w:r>
          </w:p>
        </w:tc>
        <w:tc>
          <w:tcPr>
            <w:tcW w:type="dxa" w:w="4500"/>
          </w:tcPr>
          <w:p>
            <w:pPr>
              <w:jc w:val="right"/>
            </w:pPr>
            <w:r>
              <w:rPr>
                <w:rFonts w:ascii="Times New Roman" w:hAnsi="Times New Roman"/>
                <w:sz w:val="22"/>
              </w:rPr>
              <w:t>26</w:t>
            </w:r>
          </w:p>
        </w:tc>
      </w:tr>
      <w:tr>
        <w:tc>
          <w:tcPr>
            <w:tcW w:type="dxa" w:w="4500"/>
          </w:tcPr>
          <w:p>
            <w:r>
              <w:rPr>
                <w:rFonts w:ascii="Times New Roman" w:hAnsi="Times New Roman"/>
                <w:b w:val="0"/>
                <w:sz w:val="22"/>
              </w:rPr>
              <w:t xml:space="preserve">        5.2.3 Advantages of the System Model</w:t>
            </w:r>
          </w:p>
        </w:tc>
        <w:tc>
          <w:tcPr>
            <w:tcW w:type="dxa" w:w="4500"/>
          </w:tcPr>
          <w:p>
            <w:pPr>
              <w:jc w:val="right"/>
            </w:pPr>
            <w:r>
              <w:rPr>
                <w:rFonts w:ascii="Times New Roman" w:hAnsi="Times New Roman"/>
                <w:sz w:val="22"/>
              </w:rPr>
              <w:t>26</w:t>
            </w:r>
          </w:p>
        </w:tc>
      </w:tr>
      <w:tr>
        <w:tc>
          <w:tcPr>
            <w:tcW w:type="dxa" w:w="4500"/>
          </w:tcPr>
          <w:p>
            <w:r>
              <w:rPr>
                <w:rFonts w:ascii="Times New Roman" w:hAnsi="Times New Roman"/>
                <w:b w:val="0"/>
                <w:sz w:val="22"/>
              </w:rPr>
              <w:t xml:space="preserve">    5.3 System Architecture</w:t>
            </w:r>
          </w:p>
        </w:tc>
        <w:tc>
          <w:tcPr>
            <w:tcW w:type="dxa" w:w="4500"/>
          </w:tcPr>
          <w:p>
            <w:pPr>
              <w:jc w:val="right"/>
            </w:pPr>
            <w:r>
              <w:rPr>
                <w:rFonts w:ascii="Times New Roman" w:hAnsi="Times New Roman"/>
                <w:sz w:val="22"/>
              </w:rPr>
              <w:t>27</w:t>
            </w:r>
          </w:p>
        </w:tc>
      </w:tr>
      <w:tr>
        <w:tc>
          <w:tcPr>
            <w:tcW w:type="dxa" w:w="4500"/>
          </w:tcPr>
          <w:p>
            <w:r>
              <w:rPr>
                <w:rFonts w:ascii="Times New Roman" w:hAnsi="Times New Roman"/>
                <w:b w:val="0"/>
                <w:sz w:val="22"/>
              </w:rPr>
              <w:t xml:space="preserve">        5.3.1 User Interface Layer</w:t>
            </w:r>
          </w:p>
        </w:tc>
        <w:tc>
          <w:tcPr>
            <w:tcW w:type="dxa" w:w="4500"/>
          </w:tcPr>
          <w:p>
            <w:pPr>
              <w:jc w:val="right"/>
            </w:pPr>
            <w:r>
              <w:rPr>
                <w:rFonts w:ascii="Times New Roman" w:hAnsi="Times New Roman"/>
                <w:sz w:val="22"/>
              </w:rPr>
              <w:t>27</w:t>
            </w:r>
          </w:p>
        </w:tc>
      </w:tr>
      <w:tr>
        <w:tc>
          <w:tcPr>
            <w:tcW w:type="dxa" w:w="4500"/>
          </w:tcPr>
          <w:p>
            <w:r>
              <w:rPr>
                <w:rFonts w:ascii="Times New Roman" w:hAnsi="Times New Roman"/>
                <w:b w:val="0"/>
                <w:sz w:val="22"/>
              </w:rPr>
              <w:t xml:space="preserve">        5.3.2 Application Logic Layer</w:t>
            </w:r>
          </w:p>
        </w:tc>
        <w:tc>
          <w:tcPr>
            <w:tcW w:type="dxa" w:w="4500"/>
          </w:tcPr>
          <w:p>
            <w:pPr>
              <w:jc w:val="right"/>
            </w:pPr>
            <w:r>
              <w:rPr>
                <w:rFonts w:ascii="Times New Roman" w:hAnsi="Times New Roman"/>
                <w:sz w:val="22"/>
              </w:rPr>
              <w:t>28</w:t>
            </w:r>
          </w:p>
        </w:tc>
      </w:tr>
      <w:tr>
        <w:tc>
          <w:tcPr>
            <w:tcW w:type="dxa" w:w="4500"/>
          </w:tcPr>
          <w:p>
            <w:r>
              <w:rPr>
                <w:rFonts w:ascii="Times New Roman" w:hAnsi="Times New Roman"/>
                <w:b w:val="0"/>
                <w:sz w:val="22"/>
              </w:rPr>
              <w:t xml:space="preserve">        5.3.3 Database Layer</w:t>
            </w:r>
          </w:p>
        </w:tc>
        <w:tc>
          <w:tcPr>
            <w:tcW w:type="dxa" w:w="4500"/>
          </w:tcPr>
          <w:p>
            <w:pPr>
              <w:jc w:val="right"/>
            </w:pPr>
            <w:r>
              <w:rPr>
                <w:rFonts w:ascii="Times New Roman" w:hAnsi="Times New Roman"/>
                <w:sz w:val="22"/>
              </w:rPr>
              <w:t>28</w:t>
            </w:r>
          </w:p>
        </w:tc>
      </w:tr>
      <w:tr>
        <w:tc>
          <w:tcPr>
            <w:tcW w:type="dxa" w:w="4500"/>
          </w:tcPr>
          <w:p>
            <w:r>
              <w:rPr>
                <w:rFonts w:ascii="Times New Roman" w:hAnsi="Times New Roman"/>
                <w:b w:val="0"/>
                <w:sz w:val="22"/>
              </w:rPr>
              <w:t xml:space="preserve">    5.4 UML Representation</w:t>
            </w:r>
          </w:p>
        </w:tc>
        <w:tc>
          <w:tcPr>
            <w:tcW w:type="dxa" w:w="4500"/>
          </w:tcPr>
          <w:p>
            <w:pPr>
              <w:jc w:val="right"/>
            </w:pPr>
            <w:r>
              <w:rPr>
                <w:rFonts w:ascii="Times New Roman" w:hAnsi="Times New Roman"/>
                <w:sz w:val="22"/>
              </w:rPr>
              <w:t>29</w:t>
            </w:r>
          </w:p>
        </w:tc>
      </w:tr>
      <w:tr>
        <w:tc>
          <w:tcPr>
            <w:tcW w:type="dxa" w:w="4500"/>
          </w:tcPr>
          <w:p>
            <w:r>
              <w:rPr>
                <w:rFonts w:ascii="Times New Roman" w:hAnsi="Times New Roman"/>
                <w:b w:val="0"/>
                <w:sz w:val="22"/>
              </w:rPr>
              <w:t xml:space="preserve">        5.4.1 Use Case Diagram</w:t>
            </w:r>
          </w:p>
        </w:tc>
        <w:tc>
          <w:tcPr>
            <w:tcW w:type="dxa" w:w="4500"/>
          </w:tcPr>
          <w:p>
            <w:pPr>
              <w:jc w:val="right"/>
            </w:pPr>
            <w:r>
              <w:rPr>
                <w:rFonts w:ascii="Times New Roman" w:hAnsi="Times New Roman"/>
                <w:sz w:val="22"/>
              </w:rPr>
              <w:t>29</w:t>
            </w:r>
          </w:p>
        </w:tc>
      </w:tr>
      <w:tr>
        <w:tc>
          <w:tcPr>
            <w:tcW w:type="dxa" w:w="4500"/>
          </w:tcPr>
          <w:p>
            <w:r>
              <w:rPr>
                <w:rFonts w:ascii="Times New Roman" w:hAnsi="Times New Roman"/>
                <w:b w:val="0"/>
                <w:sz w:val="22"/>
              </w:rPr>
              <w:t xml:space="preserve">        5.4.2 Class Diagram</w:t>
            </w:r>
          </w:p>
        </w:tc>
        <w:tc>
          <w:tcPr>
            <w:tcW w:type="dxa" w:w="4500"/>
          </w:tcPr>
          <w:p>
            <w:pPr>
              <w:jc w:val="right"/>
            </w:pPr>
            <w:r>
              <w:rPr>
                <w:rFonts w:ascii="Times New Roman" w:hAnsi="Times New Roman"/>
                <w:sz w:val="22"/>
              </w:rPr>
              <w:t>30</w:t>
            </w:r>
          </w:p>
        </w:tc>
      </w:tr>
      <w:tr>
        <w:tc>
          <w:tcPr>
            <w:tcW w:type="dxa" w:w="4500"/>
          </w:tcPr>
          <w:p>
            <w:r>
              <w:rPr>
                <w:rFonts w:ascii="Times New Roman" w:hAnsi="Times New Roman"/>
                <w:b w:val="0"/>
                <w:sz w:val="22"/>
              </w:rPr>
              <w:t xml:space="preserve">        5.4.3 Sequence Diagram</w:t>
            </w:r>
          </w:p>
        </w:tc>
        <w:tc>
          <w:tcPr>
            <w:tcW w:type="dxa" w:w="4500"/>
          </w:tcPr>
          <w:p>
            <w:pPr>
              <w:jc w:val="right"/>
            </w:pPr>
            <w:r>
              <w:rPr>
                <w:rFonts w:ascii="Times New Roman" w:hAnsi="Times New Roman"/>
                <w:sz w:val="22"/>
              </w:rPr>
              <w:t>31</w:t>
            </w:r>
          </w:p>
        </w:tc>
      </w:tr>
      <w:tr>
        <w:tc>
          <w:tcPr>
            <w:tcW w:type="dxa" w:w="4500"/>
          </w:tcPr>
          <w:p>
            <w:r>
              <w:rPr>
                <w:rFonts w:ascii="Times New Roman" w:hAnsi="Times New Roman"/>
                <w:b w:val="0"/>
                <w:sz w:val="22"/>
              </w:rPr>
              <w:t xml:space="preserve">        5.4.4 Block Diagram</w:t>
            </w:r>
          </w:p>
        </w:tc>
        <w:tc>
          <w:tcPr>
            <w:tcW w:type="dxa" w:w="4500"/>
          </w:tcPr>
          <w:p>
            <w:pPr>
              <w:jc w:val="right"/>
            </w:pPr>
            <w:r>
              <w:rPr>
                <w:rFonts w:ascii="Times New Roman" w:hAnsi="Times New Roman"/>
                <w:sz w:val="22"/>
              </w:rPr>
              <w:t>32</w:t>
            </w:r>
          </w:p>
        </w:tc>
      </w:tr>
      <w:tr>
        <w:tc>
          <w:tcPr>
            <w:tcW w:type="dxa" w:w="4500"/>
          </w:tcPr>
          <w:p>
            <w:r>
              <w:rPr>
                <w:rFonts w:ascii="Times New Roman" w:hAnsi="Times New Roman"/>
                <w:b/>
                <w:sz w:val="22"/>
              </w:rPr>
              <w:t>CHAPTER 6: IMPLEMENTATION</w:t>
            </w:r>
          </w:p>
        </w:tc>
        <w:tc>
          <w:tcPr>
            <w:tcW w:type="dxa" w:w="4500"/>
          </w:tcPr>
          <w:p>
            <w:pPr>
              <w:jc w:val="right"/>
            </w:pPr>
            <w:r>
              <w:rPr>
                <w:rFonts w:ascii="Times New Roman" w:hAnsi="Times New Roman"/>
                <w:sz w:val="22"/>
              </w:rPr>
            </w:r>
          </w:p>
        </w:tc>
      </w:tr>
      <w:tr>
        <w:tc>
          <w:tcPr>
            <w:tcW w:type="dxa" w:w="4500"/>
          </w:tcPr>
          <w:p>
            <w:r>
              <w:rPr>
                <w:rFonts w:ascii="Times New Roman" w:hAnsi="Times New Roman"/>
                <w:b w:val="0"/>
                <w:sz w:val="22"/>
              </w:rPr>
              <w:t xml:space="preserve">    6.1 Technology Description</w:t>
            </w:r>
          </w:p>
        </w:tc>
        <w:tc>
          <w:tcPr>
            <w:tcW w:type="dxa" w:w="4500"/>
          </w:tcPr>
          <w:p>
            <w:pPr>
              <w:jc w:val="right"/>
            </w:pPr>
            <w:r>
              <w:rPr>
                <w:rFonts w:ascii="Times New Roman" w:hAnsi="Times New Roman"/>
                <w:sz w:val="22"/>
              </w:rPr>
              <w:t>34</w:t>
            </w:r>
          </w:p>
        </w:tc>
      </w:tr>
      <w:tr>
        <w:tc>
          <w:tcPr>
            <w:tcW w:type="dxa" w:w="4500"/>
          </w:tcPr>
          <w:p>
            <w:r>
              <w:rPr>
                <w:rFonts w:ascii="Times New Roman" w:hAnsi="Times New Roman"/>
                <w:b w:val="0"/>
                <w:sz w:val="22"/>
              </w:rPr>
              <w:t xml:space="preserve">    6.2 Source Code</w:t>
            </w:r>
          </w:p>
        </w:tc>
        <w:tc>
          <w:tcPr>
            <w:tcW w:type="dxa" w:w="4500"/>
          </w:tcPr>
          <w:p>
            <w:pPr>
              <w:jc w:val="right"/>
            </w:pPr>
            <w:r>
              <w:rPr>
                <w:rFonts w:ascii="Times New Roman" w:hAnsi="Times New Roman"/>
                <w:sz w:val="22"/>
              </w:rPr>
              <w:t>36</w:t>
            </w:r>
          </w:p>
        </w:tc>
      </w:tr>
      <w:tr>
        <w:tc>
          <w:tcPr>
            <w:tcW w:type="dxa" w:w="4500"/>
          </w:tcPr>
          <w:p>
            <w:r>
              <w:rPr>
                <w:rFonts w:ascii="Times New Roman" w:hAnsi="Times New Roman"/>
                <w:b/>
                <w:sz w:val="22"/>
              </w:rPr>
              <w:t>CHAPTER 7: SCREEN SHORTS</w:t>
            </w:r>
          </w:p>
        </w:tc>
        <w:tc>
          <w:tcPr>
            <w:tcW w:type="dxa" w:w="4500"/>
          </w:tcPr>
          <w:p>
            <w:pPr>
              <w:jc w:val="right"/>
            </w:pPr>
            <w:r>
              <w:rPr>
                <w:rFonts w:ascii="Times New Roman" w:hAnsi="Times New Roman"/>
                <w:sz w:val="22"/>
              </w:rPr>
            </w:r>
          </w:p>
        </w:tc>
      </w:tr>
      <w:tr>
        <w:tc>
          <w:tcPr>
            <w:tcW w:type="dxa" w:w="4500"/>
          </w:tcPr>
          <w:p>
            <w:r>
              <w:rPr>
                <w:rFonts w:ascii="Times New Roman" w:hAnsi="Times New Roman"/>
                <w:b w:val="0"/>
                <w:sz w:val="22"/>
              </w:rPr>
              <w:t xml:space="preserve">    7.1 Input Code</w:t>
            </w:r>
          </w:p>
        </w:tc>
        <w:tc>
          <w:tcPr>
            <w:tcW w:type="dxa" w:w="4500"/>
          </w:tcPr>
          <w:p>
            <w:pPr>
              <w:jc w:val="right"/>
            </w:pPr>
            <w:r>
              <w:rPr>
                <w:rFonts w:ascii="Times New Roman" w:hAnsi="Times New Roman"/>
                <w:sz w:val="22"/>
              </w:rPr>
              <w:t>41</w:t>
            </w:r>
          </w:p>
        </w:tc>
      </w:tr>
      <w:tr>
        <w:tc>
          <w:tcPr>
            <w:tcW w:type="dxa" w:w="4500"/>
          </w:tcPr>
          <w:p>
            <w:r>
              <w:rPr>
                <w:rFonts w:ascii="Times New Roman" w:hAnsi="Times New Roman"/>
                <w:b w:val="0"/>
                <w:sz w:val="22"/>
              </w:rPr>
              <w:t xml:space="preserve">    7.2 Interface</w:t>
            </w:r>
          </w:p>
        </w:tc>
        <w:tc>
          <w:tcPr>
            <w:tcW w:type="dxa" w:w="4500"/>
          </w:tcPr>
          <w:p>
            <w:pPr>
              <w:jc w:val="right"/>
            </w:pPr>
            <w:r>
              <w:rPr>
                <w:rFonts w:ascii="Times New Roman" w:hAnsi="Times New Roman"/>
                <w:sz w:val="22"/>
              </w:rPr>
              <w:t>42</w:t>
            </w:r>
          </w:p>
        </w:tc>
      </w:tr>
      <w:tr>
        <w:tc>
          <w:tcPr>
            <w:tcW w:type="dxa" w:w="4500"/>
          </w:tcPr>
          <w:p>
            <w:r>
              <w:rPr>
                <w:rFonts w:ascii="Times New Roman" w:hAnsi="Times New Roman"/>
                <w:b w:val="0"/>
                <w:sz w:val="22"/>
              </w:rPr>
              <w:t xml:space="preserve">    7.3 Output Screen</w:t>
            </w:r>
          </w:p>
        </w:tc>
        <w:tc>
          <w:tcPr>
            <w:tcW w:type="dxa" w:w="4500"/>
          </w:tcPr>
          <w:p>
            <w:pPr>
              <w:jc w:val="right"/>
            </w:pPr>
            <w:r>
              <w:rPr>
                <w:rFonts w:ascii="Times New Roman" w:hAnsi="Times New Roman"/>
                <w:sz w:val="22"/>
              </w:rPr>
              <w:t>43</w:t>
            </w:r>
          </w:p>
        </w:tc>
      </w:tr>
      <w:tr>
        <w:tc>
          <w:tcPr>
            <w:tcW w:type="dxa" w:w="4500"/>
          </w:tcPr>
          <w:p>
            <w:r>
              <w:rPr>
                <w:rFonts w:ascii="Times New Roman" w:hAnsi="Times New Roman"/>
                <w:b/>
                <w:sz w:val="22"/>
              </w:rPr>
              <w:t>CHAPTER 8: SYSTEM TESTING</w:t>
            </w:r>
          </w:p>
        </w:tc>
        <w:tc>
          <w:tcPr>
            <w:tcW w:type="dxa" w:w="4500"/>
          </w:tcPr>
          <w:p>
            <w:pPr>
              <w:jc w:val="right"/>
            </w:pPr>
            <w:r>
              <w:rPr>
                <w:rFonts w:ascii="Times New Roman" w:hAnsi="Times New Roman"/>
                <w:sz w:val="22"/>
              </w:rPr>
            </w:r>
          </w:p>
        </w:tc>
      </w:tr>
      <w:tr>
        <w:tc>
          <w:tcPr>
            <w:tcW w:type="dxa" w:w="4500"/>
          </w:tcPr>
          <w:p>
            <w:r>
              <w:rPr>
                <w:rFonts w:ascii="Times New Roman" w:hAnsi="Times New Roman"/>
                <w:b w:val="0"/>
                <w:sz w:val="22"/>
              </w:rPr>
              <w:t xml:space="preserve">    8.1 Introduction</w:t>
            </w:r>
          </w:p>
        </w:tc>
        <w:tc>
          <w:tcPr>
            <w:tcW w:type="dxa" w:w="4500"/>
          </w:tcPr>
          <w:p>
            <w:pPr>
              <w:jc w:val="right"/>
            </w:pPr>
            <w:r>
              <w:rPr>
                <w:rFonts w:ascii="Times New Roman" w:hAnsi="Times New Roman"/>
                <w:sz w:val="22"/>
              </w:rPr>
              <w:t>45</w:t>
            </w:r>
          </w:p>
        </w:tc>
      </w:tr>
      <w:tr>
        <w:tc>
          <w:tcPr>
            <w:tcW w:type="dxa" w:w="4500"/>
          </w:tcPr>
          <w:p>
            <w:r>
              <w:rPr>
                <w:rFonts w:ascii="Times New Roman" w:hAnsi="Times New Roman"/>
                <w:b w:val="0"/>
                <w:sz w:val="22"/>
              </w:rPr>
              <w:t xml:space="preserve">    8.2 Types of Testing</w:t>
            </w:r>
          </w:p>
        </w:tc>
        <w:tc>
          <w:tcPr>
            <w:tcW w:type="dxa" w:w="4500"/>
          </w:tcPr>
          <w:p>
            <w:pPr>
              <w:jc w:val="right"/>
            </w:pPr>
            <w:r>
              <w:rPr>
                <w:rFonts w:ascii="Times New Roman" w:hAnsi="Times New Roman"/>
                <w:sz w:val="22"/>
              </w:rPr>
              <w:t>45</w:t>
            </w:r>
          </w:p>
        </w:tc>
      </w:tr>
      <w:tr>
        <w:tc>
          <w:tcPr>
            <w:tcW w:type="dxa" w:w="4500"/>
          </w:tcPr>
          <w:p>
            <w:r>
              <w:rPr>
                <w:rFonts w:ascii="Times New Roman" w:hAnsi="Times New Roman"/>
                <w:b w:val="0"/>
                <w:sz w:val="22"/>
              </w:rPr>
              <w:t xml:space="preserve">        8.2.1 Unit Testing</w:t>
            </w:r>
          </w:p>
        </w:tc>
        <w:tc>
          <w:tcPr>
            <w:tcW w:type="dxa" w:w="4500"/>
          </w:tcPr>
          <w:p>
            <w:pPr>
              <w:jc w:val="right"/>
            </w:pPr>
            <w:r>
              <w:rPr>
                <w:rFonts w:ascii="Times New Roman" w:hAnsi="Times New Roman"/>
                <w:sz w:val="22"/>
              </w:rPr>
              <w:t>45</w:t>
            </w:r>
          </w:p>
        </w:tc>
      </w:tr>
      <w:tr>
        <w:tc>
          <w:tcPr>
            <w:tcW w:type="dxa" w:w="4500"/>
          </w:tcPr>
          <w:p>
            <w:r>
              <w:rPr>
                <w:rFonts w:ascii="Times New Roman" w:hAnsi="Times New Roman"/>
                <w:b w:val="0"/>
                <w:sz w:val="22"/>
              </w:rPr>
              <w:t xml:space="preserve">        8.2.2 Integration Testing</w:t>
            </w:r>
          </w:p>
        </w:tc>
        <w:tc>
          <w:tcPr>
            <w:tcW w:type="dxa" w:w="4500"/>
          </w:tcPr>
          <w:p>
            <w:pPr>
              <w:jc w:val="right"/>
            </w:pPr>
            <w:r>
              <w:rPr>
                <w:rFonts w:ascii="Times New Roman" w:hAnsi="Times New Roman"/>
                <w:sz w:val="22"/>
              </w:rPr>
              <w:t>46</w:t>
            </w:r>
          </w:p>
        </w:tc>
      </w:tr>
      <w:tr>
        <w:tc>
          <w:tcPr>
            <w:tcW w:type="dxa" w:w="4500"/>
          </w:tcPr>
          <w:p>
            <w:r>
              <w:rPr>
                <w:rFonts w:ascii="Times New Roman" w:hAnsi="Times New Roman"/>
                <w:b w:val="0"/>
                <w:sz w:val="22"/>
              </w:rPr>
              <w:t xml:space="preserve">        8.2.3 Functional Testing</w:t>
            </w:r>
          </w:p>
        </w:tc>
        <w:tc>
          <w:tcPr>
            <w:tcW w:type="dxa" w:w="4500"/>
          </w:tcPr>
          <w:p>
            <w:pPr>
              <w:jc w:val="right"/>
            </w:pPr>
            <w:r>
              <w:rPr>
                <w:rFonts w:ascii="Times New Roman" w:hAnsi="Times New Roman"/>
                <w:sz w:val="22"/>
              </w:rPr>
              <w:t>46</w:t>
            </w:r>
          </w:p>
        </w:tc>
      </w:tr>
      <w:tr>
        <w:tc>
          <w:tcPr>
            <w:tcW w:type="dxa" w:w="4500"/>
          </w:tcPr>
          <w:p>
            <w:r>
              <w:rPr>
                <w:rFonts w:ascii="Times New Roman" w:hAnsi="Times New Roman"/>
                <w:b w:val="0"/>
                <w:sz w:val="22"/>
              </w:rPr>
              <w:t xml:space="preserve">        8.2.4 Performance Testing</w:t>
            </w:r>
          </w:p>
        </w:tc>
        <w:tc>
          <w:tcPr>
            <w:tcW w:type="dxa" w:w="4500"/>
          </w:tcPr>
          <w:p>
            <w:pPr>
              <w:jc w:val="right"/>
            </w:pPr>
            <w:r>
              <w:rPr>
                <w:rFonts w:ascii="Times New Roman" w:hAnsi="Times New Roman"/>
                <w:sz w:val="22"/>
              </w:rPr>
              <w:t>47</w:t>
            </w:r>
          </w:p>
        </w:tc>
      </w:tr>
      <w:tr>
        <w:tc>
          <w:tcPr>
            <w:tcW w:type="dxa" w:w="4500"/>
          </w:tcPr>
          <w:p>
            <w:r>
              <w:rPr>
                <w:rFonts w:ascii="Times New Roman" w:hAnsi="Times New Roman"/>
                <w:b w:val="0"/>
                <w:sz w:val="22"/>
              </w:rPr>
              <w:t xml:space="preserve">        8.2.5 Usability Testing</w:t>
            </w:r>
          </w:p>
        </w:tc>
        <w:tc>
          <w:tcPr>
            <w:tcW w:type="dxa" w:w="4500"/>
          </w:tcPr>
          <w:p>
            <w:pPr>
              <w:jc w:val="right"/>
            </w:pPr>
            <w:r>
              <w:rPr>
                <w:rFonts w:ascii="Times New Roman" w:hAnsi="Times New Roman"/>
                <w:sz w:val="22"/>
              </w:rPr>
              <w:t>47</w:t>
            </w:r>
          </w:p>
        </w:tc>
      </w:tr>
      <w:tr>
        <w:tc>
          <w:tcPr>
            <w:tcW w:type="dxa" w:w="4500"/>
          </w:tcPr>
          <w:p>
            <w:r>
              <w:rPr>
                <w:rFonts w:ascii="Times New Roman" w:hAnsi="Times New Roman"/>
                <w:b w:val="0"/>
                <w:sz w:val="22"/>
              </w:rPr>
              <w:t xml:space="preserve">        8.2.6 Validation Testing</w:t>
            </w:r>
          </w:p>
        </w:tc>
        <w:tc>
          <w:tcPr>
            <w:tcW w:type="dxa" w:w="4500"/>
          </w:tcPr>
          <w:p>
            <w:pPr>
              <w:jc w:val="right"/>
            </w:pPr>
            <w:r>
              <w:rPr>
                <w:rFonts w:ascii="Times New Roman" w:hAnsi="Times New Roman"/>
                <w:sz w:val="22"/>
              </w:rPr>
              <w:t>47</w:t>
            </w:r>
          </w:p>
        </w:tc>
      </w:tr>
      <w:tr>
        <w:tc>
          <w:tcPr>
            <w:tcW w:type="dxa" w:w="4500"/>
          </w:tcPr>
          <w:p>
            <w:r>
              <w:rPr>
                <w:rFonts w:ascii="Times New Roman" w:hAnsi="Times New Roman"/>
                <w:b w:val="0"/>
                <w:sz w:val="22"/>
              </w:rPr>
              <w:t xml:space="preserve">        8.2.7 Error Handling Testing</w:t>
            </w:r>
          </w:p>
        </w:tc>
        <w:tc>
          <w:tcPr>
            <w:tcW w:type="dxa" w:w="4500"/>
          </w:tcPr>
          <w:p>
            <w:pPr>
              <w:jc w:val="right"/>
            </w:pPr>
            <w:r>
              <w:rPr>
                <w:rFonts w:ascii="Times New Roman" w:hAnsi="Times New Roman"/>
                <w:sz w:val="22"/>
              </w:rPr>
              <w:t>48</w:t>
            </w:r>
          </w:p>
        </w:tc>
      </w:tr>
      <w:tr>
        <w:tc>
          <w:tcPr>
            <w:tcW w:type="dxa" w:w="4500"/>
          </w:tcPr>
          <w:p>
            <w:r>
              <w:rPr>
                <w:rFonts w:ascii="Times New Roman" w:hAnsi="Times New Roman"/>
                <w:b w:val="0"/>
                <w:sz w:val="22"/>
              </w:rPr>
              <w:t xml:space="preserve">    8.3 Test Strategy and Approach</w:t>
            </w:r>
          </w:p>
        </w:tc>
        <w:tc>
          <w:tcPr>
            <w:tcW w:type="dxa" w:w="4500"/>
          </w:tcPr>
          <w:p>
            <w:pPr>
              <w:jc w:val="right"/>
            </w:pPr>
            <w:r>
              <w:rPr>
                <w:rFonts w:ascii="Times New Roman" w:hAnsi="Times New Roman"/>
                <w:sz w:val="22"/>
              </w:rPr>
              <w:t>48</w:t>
            </w:r>
          </w:p>
        </w:tc>
      </w:tr>
      <w:tr>
        <w:tc>
          <w:tcPr>
            <w:tcW w:type="dxa" w:w="4500"/>
          </w:tcPr>
          <w:p>
            <w:r>
              <w:rPr>
                <w:rFonts w:ascii="Times New Roman" w:hAnsi="Times New Roman"/>
                <w:b w:val="0"/>
                <w:sz w:val="22"/>
              </w:rPr>
              <w:t xml:space="preserve">        8.3.1 Incremental Testing</w:t>
            </w:r>
          </w:p>
        </w:tc>
        <w:tc>
          <w:tcPr>
            <w:tcW w:type="dxa" w:w="4500"/>
          </w:tcPr>
          <w:p>
            <w:pPr>
              <w:jc w:val="right"/>
            </w:pPr>
            <w:r>
              <w:rPr>
                <w:rFonts w:ascii="Times New Roman" w:hAnsi="Times New Roman"/>
                <w:sz w:val="22"/>
              </w:rPr>
              <w:t>48</w:t>
            </w:r>
          </w:p>
        </w:tc>
      </w:tr>
      <w:tr>
        <w:tc>
          <w:tcPr>
            <w:tcW w:type="dxa" w:w="4500"/>
          </w:tcPr>
          <w:p>
            <w:r>
              <w:rPr>
                <w:rFonts w:ascii="Times New Roman" w:hAnsi="Times New Roman"/>
                <w:b w:val="0"/>
                <w:sz w:val="22"/>
              </w:rPr>
              <w:t xml:space="preserve">        8.3.2 Black Box and White Box Testing</w:t>
            </w:r>
          </w:p>
        </w:tc>
        <w:tc>
          <w:tcPr>
            <w:tcW w:type="dxa" w:w="4500"/>
          </w:tcPr>
          <w:p>
            <w:pPr>
              <w:jc w:val="right"/>
            </w:pPr>
            <w:r>
              <w:rPr>
                <w:rFonts w:ascii="Times New Roman" w:hAnsi="Times New Roman"/>
                <w:sz w:val="22"/>
              </w:rPr>
              <w:t>48</w:t>
            </w:r>
          </w:p>
        </w:tc>
      </w:tr>
      <w:tr>
        <w:tc>
          <w:tcPr>
            <w:tcW w:type="dxa" w:w="4500"/>
          </w:tcPr>
          <w:p>
            <w:r>
              <w:rPr>
                <w:rFonts w:ascii="Times New Roman" w:hAnsi="Times New Roman"/>
                <w:b w:val="0"/>
                <w:sz w:val="22"/>
              </w:rPr>
              <w:t xml:space="preserve">        8.3.3 Realistic User Scenario Testing</w:t>
            </w:r>
          </w:p>
        </w:tc>
        <w:tc>
          <w:tcPr>
            <w:tcW w:type="dxa" w:w="4500"/>
          </w:tcPr>
          <w:p>
            <w:pPr>
              <w:jc w:val="right"/>
            </w:pPr>
            <w:r>
              <w:rPr>
                <w:rFonts w:ascii="Times New Roman" w:hAnsi="Times New Roman"/>
                <w:sz w:val="22"/>
              </w:rPr>
              <w:t>49</w:t>
            </w:r>
          </w:p>
        </w:tc>
      </w:tr>
      <w:tr>
        <w:tc>
          <w:tcPr>
            <w:tcW w:type="dxa" w:w="4500"/>
          </w:tcPr>
          <w:p>
            <w:r>
              <w:rPr>
                <w:rFonts w:ascii="Times New Roman" w:hAnsi="Times New Roman"/>
                <w:b w:val="0"/>
                <w:sz w:val="22"/>
              </w:rPr>
              <w:t xml:space="preserve">        8.3.4 Repeated Trial Testing of Model Output</w:t>
            </w:r>
          </w:p>
        </w:tc>
        <w:tc>
          <w:tcPr>
            <w:tcW w:type="dxa" w:w="4500"/>
          </w:tcPr>
          <w:p>
            <w:pPr>
              <w:jc w:val="right"/>
            </w:pPr>
            <w:r>
              <w:rPr>
                <w:rFonts w:ascii="Times New Roman" w:hAnsi="Times New Roman"/>
                <w:sz w:val="22"/>
              </w:rPr>
              <w:t>49</w:t>
            </w:r>
          </w:p>
        </w:tc>
      </w:tr>
      <w:tr>
        <w:tc>
          <w:tcPr>
            <w:tcW w:type="dxa" w:w="4500"/>
          </w:tcPr>
          <w:p>
            <w:r>
              <w:rPr>
                <w:rFonts w:ascii="Times New Roman" w:hAnsi="Times New Roman"/>
                <w:b w:val="0"/>
                <w:sz w:val="22"/>
              </w:rPr>
              <w:t xml:space="preserve">        8.3.5 Feedback-Based Testing</w:t>
            </w:r>
          </w:p>
        </w:tc>
        <w:tc>
          <w:tcPr>
            <w:tcW w:type="dxa" w:w="4500"/>
          </w:tcPr>
          <w:p>
            <w:pPr>
              <w:jc w:val="right"/>
            </w:pPr>
            <w:r>
              <w:rPr>
                <w:rFonts w:ascii="Times New Roman" w:hAnsi="Times New Roman"/>
                <w:sz w:val="22"/>
              </w:rPr>
              <w:t>49</w:t>
            </w:r>
          </w:p>
        </w:tc>
      </w:tr>
      <w:tr>
        <w:tc>
          <w:tcPr>
            <w:tcW w:type="dxa" w:w="4500"/>
          </w:tcPr>
          <w:p>
            <w:r>
              <w:rPr>
                <w:rFonts w:ascii="Times New Roman" w:hAnsi="Times New Roman"/>
                <w:b/>
                <w:sz w:val="22"/>
              </w:rPr>
              <w:t>CHAPTER 9: CONCLUSION AND FUTURE WORK</w:t>
            </w:r>
          </w:p>
        </w:tc>
        <w:tc>
          <w:tcPr>
            <w:tcW w:type="dxa" w:w="4500"/>
          </w:tcPr>
          <w:p>
            <w:pPr>
              <w:jc w:val="right"/>
            </w:pPr>
            <w:r>
              <w:rPr>
                <w:rFonts w:ascii="Times New Roman" w:hAnsi="Times New Roman"/>
                <w:sz w:val="22"/>
              </w:rPr>
            </w:r>
          </w:p>
        </w:tc>
      </w:tr>
      <w:tr>
        <w:tc>
          <w:tcPr>
            <w:tcW w:type="dxa" w:w="4500"/>
          </w:tcPr>
          <w:p>
            <w:r>
              <w:rPr>
                <w:rFonts w:ascii="Times New Roman" w:hAnsi="Times New Roman"/>
                <w:b w:val="0"/>
                <w:sz w:val="22"/>
              </w:rPr>
              <w:t xml:space="preserve">    9.1 Conclusion</w:t>
            </w:r>
          </w:p>
        </w:tc>
        <w:tc>
          <w:tcPr>
            <w:tcW w:type="dxa" w:w="4500"/>
          </w:tcPr>
          <w:p>
            <w:pPr>
              <w:jc w:val="right"/>
            </w:pPr>
            <w:r>
              <w:rPr>
                <w:rFonts w:ascii="Times New Roman" w:hAnsi="Times New Roman"/>
                <w:sz w:val="22"/>
              </w:rPr>
              <w:t>50</w:t>
            </w:r>
          </w:p>
        </w:tc>
      </w:tr>
      <w:tr>
        <w:tc>
          <w:tcPr>
            <w:tcW w:type="dxa" w:w="4500"/>
          </w:tcPr>
          <w:p>
            <w:r>
              <w:rPr>
                <w:rFonts w:ascii="Times New Roman" w:hAnsi="Times New Roman"/>
                <w:b w:val="0"/>
                <w:sz w:val="22"/>
              </w:rPr>
              <w:t xml:space="preserve">    9.2 Future Work</w:t>
            </w:r>
          </w:p>
        </w:tc>
        <w:tc>
          <w:tcPr>
            <w:tcW w:type="dxa" w:w="4500"/>
          </w:tcPr>
          <w:p>
            <w:pPr>
              <w:jc w:val="right"/>
            </w:pPr>
            <w:r>
              <w:rPr>
                <w:rFonts w:ascii="Times New Roman" w:hAnsi="Times New Roman"/>
                <w:sz w:val="22"/>
              </w:rPr>
              <w:t>51</w:t>
            </w:r>
          </w:p>
        </w:tc>
      </w:tr>
      <w:tr>
        <w:tc>
          <w:tcPr>
            <w:tcW w:type="dxa" w:w="4500"/>
          </w:tcPr>
          <w:p>
            <w:r>
              <w:rPr>
                <w:rFonts w:ascii="Times New Roman" w:hAnsi="Times New Roman"/>
                <w:b/>
                <w:sz w:val="22"/>
              </w:rPr>
              <w:t>CHAPTER 10: REFERENCES</w:t>
            </w:r>
          </w:p>
        </w:tc>
        <w:tc>
          <w:tcPr>
            <w:tcW w:type="dxa" w:w="4500"/>
          </w:tcPr>
          <w:p>
            <w:pPr>
              <w:jc w:val="right"/>
            </w:pPr>
            <w:r>
              <w:rPr>
                <w:rFonts w:ascii="Times New Roman" w:hAnsi="Times New Roman"/>
                <w:sz w:val="22"/>
              </w:rPr>
            </w:r>
          </w:p>
        </w:tc>
      </w:tr>
      <w:tr>
        <w:tc>
          <w:tcPr>
            <w:tcW w:type="dxa" w:w="4500"/>
          </w:tcPr>
          <w:p>
            <w:r>
              <w:rPr>
                <w:rFonts w:ascii="Times New Roman" w:hAnsi="Times New Roman"/>
                <w:b w:val="0"/>
                <w:sz w:val="22"/>
              </w:rPr>
              <w:t xml:space="preserve">    References</w:t>
            </w:r>
          </w:p>
        </w:tc>
        <w:tc>
          <w:tcPr>
            <w:tcW w:type="dxa" w:w="4500"/>
          </w:tcPr>
          <w:p>
            <w:pPr>
              <w:jc w:val="right"/>
            </w:pPr>
            <w:r>
              <w:rPr>
                <w:rFonts w:ascii="Times New Roman" w:hAnsi="Times New Roman"/>
                <w:sz w:val="22"/>
              </w:rPr>
              <w:t>53</w:t>
            </w:r>
          </w:p>
        </w:tc>
      </w:tr>
    </w:tbl>
    <w:p/>
    <w:p>
      <w:r>
        <w:br w:type="page"/>
      </w:r>
    </w:p>
    <w:p>
      <w:pPr>
        <w:pStyle w:val="Heading1"/>
        <w:jc w:val="center"/>
      </w:pPr>
      <w:r>
        <w:rPr>
          <w:color w:val="000000"/>
        </w:rPr>
        <w:t>LIST OF FIGURES</w:t>
      </w:r>
    </w:p>
    <w:p>
      <w:pPr>
        <w:spacing w:before="0" w:after="0"/>
      </w:pPr>
    </w:p>
    <w:tbl>
      <w:tblPr>
        <w:tblW w:type="auto" w:w="0"/>
        <w:tblLook w:firstColumn="1" w:firstRow="1" w:lastColumn="0" w:lastRow="0" w:noHBand="0" w:noVBand="1" w:val="04A0"/>
      </w:tblPr>
      <w:tblGrid>
        <w:gridCol w:w="4500"/>
        <w:gridCol w:w="4500"/>
      </w:tblGrid>
      <w:tr>
        <w:tc>
          <w:tcPr>
            <w:tcW w:type="dxa" w:w="4500"/>
          </w:tcPr>
          <w:p>
            <w:r>
              <w:rPr>
                <w:b/>
              </w:rPr>
              <w:t>Title</w:t>
            </w:r>
          </w:p>
        </w:tc>
        <w:tc>
          <w:tcPr>
            <w:tcW w:type="dxa" w:w="4500"/>
          </w:tcPr>
          <w:p>
            <w:pPr>
              <w:jc w:val="right"/>
            </w:pPr>
            <w:r>
              <w:rPr>
                <w:b/>
              </w:rPr>
              <w:t>Page No</w:t>
            </w:r>
          </w:p>
        </w:tc>
      </w:tr>
      <w:tr>
        <w:tc>
          <w:tcPr>
            <w:tcW w:type="dxa" w:w="4500"/>
          </w:tcPr>
          <w:p>
            <w:r>
              <w:rPr>
                <w:sz w:val="22"/>
              </w:rPr>
              <w:t>Fig 1: Use Case Diagram</w:t>
            </w:r>
          </w:p>
        </w:tc>
        <w:tc>
          <w:tcPr>
            <w:tcW w:type="dxa" w:w="4500"/>
          </w:tcPr>
          <w:p>
            <w:pPr>
              <w:jc w:val="right"/>
            </w:pPr>
            <w:r>
              <w:rPr>
                <w:sz w:val="22"/>
              </w:rPr>
              <w:t>29</w:t>
            </w:r>
          </w:p>
        </w:tc>
      </w:tr>
      <w:tr>
        <w:tc>
          <w:tcPr>
            <w:tcW w:type="dxa" w:w="4500"/>
          </w:tcPr>
          <w:p>
            <w:r>
              <w:rPr>
                <w:sz w:val="22"/>
              </w:rPr>
              <w:t>Fig 2: Class Diagram</w:t>
            </w:r>
          </w:p>
        </w:tc>
        <w:tc>
          <w:tcPr>
            <w:tcW w:type="dxa" w:w="4500"/>
          </w:tcPr>
          <w:p>
            <w:pPr>
              <w:jc w:val="right"/>
            </w:pPr>
            <w:r>
              <w:rPr>
                <w:sz w:val="22"/>
              </w:rPr>
              <w:t>30</w:t>
            </w:r>
          </w:p>
        </w:tc>
      </w:tr>
      <w:tr>
        <w:tc>
          <w:tcPr>
            <w:tcW w:type="dxa" w:w="4500"/>
          </w:tcPr>
          <w:p>
            <w:r>
              <w:rPr>
                <w:sz w:val="22"/>
              </w:rPr>
              <w:t>Fig 3: Sequence Diagram</w:t>
            </w:r>
          </w:p>
        </w:tc>
        <w:tc>
          <w:tcPr>
            <w:tcW w:type="dxa" w:w="4500"/>
          </w:tcPr>
          <w:p>
            <w:pPr>
              <w:jc w:val="right"/>
            </w:pPr>
            <w:r>
              <w:rPr>
                <w:sz w:val="22"/>
              </w:rPr>
              <w:t>31</w:t>
            </w:r>
          </w:p>
        </w:tc>
      </w:tr>
      <w:tr>
        <w:tc>
          <w:tcPr>
            <w:tcW w:type="dxa" w:w="4500"/>
          </w:tcPr>
          <w:p>
            <w:r>
              <w:rPr>
                <w:sz w:val="22"/>
              </w:rPr>
              <w:t>Fig 4: Block Diagram</w:t>
            </w:r>
          </w:p>
        </w:tc>
        <w:tc>
          <w:tcPr>
            <w:tcW w:type="dxa" w:w="4500"/>
          </w:tcPr>
          <w:p>
            <w:pPr>
              <w:jc w:val="right"/>
            </w:pPr>
            <w:r>
              <w:rPr>
                <w:sz w:val="22"/>
              </w:rPr>
              <w:t>32</w:t>
            </w:r>
          </w:p>
        </w:tc>
      </w:tr>
      <w:tr>
        <w:tc>
          <w:tcPr>
            <w:tcW w:type="dxa" w:w="4500"/>
          </w:tcPr>
          <w:p>
            <w:r>
              <w:rPr>
                <w:sz w:val="22"/>
              </w:rPr>
              <w:t>Fig 5: Overview Dashboard Tab</w:t>
            </w:r>
          </w:p>
        </w:tc>
        <w:tc>
          <w:tcPr>
            <w:tcW w:type="dxa" w:w="4500"/>
          </w:tcPr>
          <w:p>
            <w:pPr>
              <w:jc w:val="right"/>
            </w:pPr>
            <w:r>
              <w:rPr>
                <w:sz w:val="22"/>
              </w:rPr>
              <w:t>41</w:t>
            </w:r>
          </w:p>
        </w:tc>
      </w:tr>
      <w:tr>
        <w:tc>
          <w:tcPr>
            <w:tcW w:type="dxa" w:w="4500"/>
          </w:tcPr>
          <w:p>
            <w:r>
              <w:rPr>
                <w:sz w:val="22"/>
              </w:rPr>
              <w:t>Fig 6: AI Insights Generation for Individual Customer</w:t>
            </w:r>
          </w:p>
        </w:tc>
        <w:tc>
          <w:tcPr>
            <w:tcW w:type="dxa" w:w="4500"/>
          </w:tcPr>
          <w:p>
            <w:pPr>
              <w:jc w:val="right"/>
            </w:pPr>
            <w:r>
              <w:rPr>
                <w:sz w:val="22"/>
              </w:rPr>
              <w:t>41</w:t>
            </w:r>
          </w:p>
        </w:tc>
      </w:tr>
      <w:tr>
        <w:tc>
          <w:tcPr>
            <w:tcW w:type="dxa" w:w="4500"/>
          </w:tcPr>
          <w:p>
            <w:r>
              <w:rPr>
                <w:sz w:val="22"/>
              </w:rPr>
              <w:t>Fig 7: What-If Simulator with SHAP Feature Attribution</w:t>
            </w:r>
          </w:p>
        </w:tc>
        <w:tc>
          <w:tcPr>
            <w:tcW w:type="dxa" w:w="4500"/>
          </w:tcPr>
          <w:p>
            <w:pPr>
              <w:jc w:val="right"/>
            </w:pPr>
            <w:r>
              <w:rPr>
                <w:sz w:val="22"/>
              </w:rPr>
              <w:t>42</w:t>
            </w:r>
          </w:p>
        </w:tc>
      </w:tr>
      <w:tr>
        <w:tc>
          <w:tcPr>
            <w:tcW w:type="dxa" w:w="4500"/>
          </w:tcPr>
          <w:p>
            <w:r>
              <w:rPr>
                <w:sz w:val="22"/>
              </w:rPr>
              <w:t>Fig 8: Batch Processing Tab</w:t>
            </w:r>
          </w:p>
        </w:tc>
        <w:tc>
          <w:tcPr>
            <w:tcW w:type="dxa" w:w="4500"/>
          </w:tcPr>
          <w:p>
            <w:pPr>
              <w:jc w:val="right"/>
            </w:pPr>
            <w:r>
              <w:rPr>
                <w:sz w:val="22"/>
              </w:rPr>
              <w:t>42</w:t>
            </w:r>
          </w:p>
        </w:tc>
      </w:tr>
      <w:tr>
        <w:tc>
          <w:tcPr>
            <w:tcW w:type="dxa" w:w="4500"/>
          </w:tcPr>
          <w:p>
            <w:r>
              <w:rPr>
                <w:sz w:val="22"/>
              </w:rPr>
              <w:t>Fig 9: At-Risk Customers Tab</w:t>
            </w:r>
          </w:p>
        </w:tc>
        <w:tc>
          <w:tcPr>
            <w:tcW w:type="dxa" w:w="4500"/>
          </w:tcPr>
          <w:p>
            <w:pPr>
              <w:jc w:val="right"/>
            </w:pPr>
            <w:r>
              <w:rPr>
                <w:sz w:val="22"/>
              </w:rPr>
              <w:t>43</w:t>
            </w:r>
          </w:p>
        </w:tc>
      </w:tr>
      <w:tr>
        <w:tc>
          <w:tcPr>
            <w:tcW w:type="dxa" w:w="4500"/>
          </w:tcPr>
          <w:p>
            <w:r>
              <w:rPr>
                <w:sz w:val="22"/>
              </w:rPr>
              <w:t>Fig 10: Customer Segments Tab</w:t>
            </w:r>
          </w:p>
        </w:tc>
        <w:tc>
          <w:tcPr>
            <w:tcW w:type="dxa" w:w="4500"/>
          </w:tcPr>
          <w:p>
            <w:pPr>
              <w:jc w:val="right"/>
            </w:pPr>
            <w:r>
              <w:rPr>
                <w:sz w:val="22"/>
              </w:rPr>
              <w:t>43</w:t>
            </w:r>
          </w:p>
        </w:tc>
      </w:tr>
      <w:tr>
        <w:tc>
          <w:tcPr>
            <w:tcW w:type="dxa" w:w="4500"/>
          </w:tcPr>
          <w:p>
            <w:r>
              <w:rPr>
                <w:sz w:val="22"/>
              </w:rPr>
              <w:t>Fig 11: Automated Win-Back Email Output</w:t>
            </w:r>
          </w:p>
        </w:tc>
        <w:tc>
          <w:tcPr>
            <w:tcW w:type="dxa" w:w="4500"/>
          </w:tcPr>
          <w:p>
            <w:pPr>
              <w:jc w:val="right"/>
            </w:pPr>
            <w:r>
              <w:rPr>
                <w:sz w:val="22"/>
              </w:rPr>
              <w:t>44</w:t>
            </w:r>
          </w:p>
        </w:tc>
      </w:tr>
      <w:tr>
        <w:tc>
          <w:tcPr>
            <w:tcW w:type="dxa" w:w="4500"/>
          </w:tcPr>
          <w:p>
            <w:r>
              <w:rPr>
                <w:sz w:val="22"/>
              </w:rPr>
              <w:t>Fig 12: Product Recommendations Tab</w:t>
            </w:r>
          </w:p>
        </w:tc>
        <w:tc>
          <w:tcPr>
            <w:tcW w:type="dxa" w:w="4500"/>
          </w:tcPr>
          <w:p>
            <w:pPr>
              <w:jc w:val="right"/>
            </w:pPr>
            <w:r>
              <w:rPr>
                <w:sz w:val="22"/>
              </w:rPr>
              <w:t>44</w:t>
            </w:r>
          </w:p>
        </w:tc>
      </w:tr>
    </w:tbl>
    <w:p/>
    <w:p>
      <w:r>
        <w:br w:type="page"/>
      </w:r>
    </w:p>
    <w:p>
      <w:pPr>
        <w:pStyle w:val="Heading1"/>
        <w:jc w:val="left"/>
      </w:pPr>
      <w:r>
        <w:rPr>
          <w:color w:val="000000"/>
        </w:rPr>
        <w:t>CHAPTER 1: INTRODUCTION</w:t>
      </w:r>
    </w:p>
    <w:p>
      <w:pPr>
        <w:pStyle w:val="Heading2"/>
        <w:jc w:val="left"/>
      </w:pPr>
      <w:r>
        <w:rPr>
          <w:color w:val="000000"/>
        </w:rPr>
        <w:t>1.1 Introduction</w:t>
      </w:r>
    </w:p>
    <w:p>
      <w:pPr>
        <w:jc w:val="both"/>
      </w:pPr>
      <w:r>
        <w:rPr>
          <w:rFonts w:ascii="Times New Roman" w:hAnsi="Times New Roman"/>
          <w:b w:val="0"/>
          <w:sz w:val="24"/>
        </w:rPr>
        <w:t>The global e-commerce landscape has undergone a dramatic transformation over the past decade. Fueled by the proliferation of smartphones, widespread internet access, and evolving consumer preferences, online retail has grown into a multi-trillion-dollar industry. This growth has also intensified market competition, making customer acquisition and retention increasingly expensive and challenging. In such an environment, the ability to anticipate customer behavior, predicting who will buy, how much they will spend over their lifetime, and who is likely to stop engaging with the platform, constitutes a powerful strategic advantage.</w:t>
      </w:r>
    </w:p>
    <w:p>
      <w:pPr>
        <w:spacing w:before="0" w:after="0"/>
      </w:pPr>
    </w:p>
    <w:p>
      <w:pPr>
        <w:jc w:val="both"/>
      </w:pPr>
      <w:r>
        <w:rPr>
          <w:rFonts w:ascii="Times New Roman" w:hAnsi="Times New Roman"/>
          <w:b w:val="0"/>
          <w:sz w:val="24"/>
        </w:rPr>
        <w:t>Businesses have historically used rule-based methods such as the RFM (Recency, Frequency, Monetary) model to segment and understand their customer base. RFM assigns scores based on how recently a customer made a purchase (Recency), how often they purchase (Frequency), and the total monetary value of their purchases (Monetary). While effective for historical segmentation, RFM provides no predictive capacity. It describes past behavior but cannot forecast future outcomes. A customer who has historically been high-value on the RFM scale may be silently drifting away, and a simple RFM analysis will not detect this deterioration until it is too late for an effective intervention.</w:t>
      </w:r>
    </w:p>
    <w:p>
      <w:pPr>
        <w:spacing w:before="0" w:after="0"/>
      </w:pPr>
    </w:p>
    <w:p>
      <w:pPr>
        <w:jc w:val="both"/>
      </w:pPr>
      <w:r>
        <w:rPr>
          <w:rFonts w:ascii="Times New Roman" w:hAnsi="Times New Roman"/>
          <w:b w:val="0"/>
          <w:sz w:val="24"/>
        </w:rPr>
        <w:t>Zenthiqa was conceived to address precisely this gap. It is a deep learning-powered analytics microservice platform that moves beyond historical analysis to provide forward-looking, predictive intelligence about customer behavior. By harnessing the power of modern neural network architectures, Zenthiqa equips business managers with a dashboard that not only shows what happened, but predicts what is going to happen, enabling timely, data-driven decisions that maximize customer lifetime value and minimize revenue loss from churn.</w:t>
      </w:r>
    </w:p>
    <w:p>
      <w:pPr>
        <w:pStyle w:val="Heading2"/>
        <w:jc w:val="left"/>
      </w:pPr>
      <w:r>
        <w:rPr>
          <w:color w:val="000000"/>
        </w:rPr>
        <w:t>1.2 Purpose</w:t>
      </w:r>
    </w:p>
    <w:p>
      <w:pPr>
        <w:jc w:val="both"/>
      </w:pPr>
      <w:r>
        <w:rPr>
          <w:rFonts w:ascii="Times New Roman" w:hAnsi="Times New Roman"/>
          <w:b w:val="0"/>
          <w:sz w:val="24"/>
        </w:rPr>
        <w:t>The primary purpose of this project is to design, develop, and deploy a complete, production-ready AI analytics system for e-commerce businesses. The system is specifically purpose-built to solve three fundamental, interconnected business problems that together determine the long-term profitability of any customer relationship:</w:t>
      </w:r>
    </w:p>
    <w:p>
      <w:pPr>
        <w:spacing w:before="0" w:after="0"/>
      </w:pPr>
    </w:p>
    <w:p>
      <w:pPr>
        <w:pStyle w:val="ListBullet"/>
        <w:spacing w:line="360" w:lineRule="auto"/>
        <w:jc w:val="both"/>
      </w:pPr>
      <w:r>
        <w:rPr>
          <w:rFonts w:ascii="Times New Roman" w:hAnsi="Times New Roman"/>
          <w:sz w:val="24"/>
        </w:rPr>
        <w:t>Customer Lifetime Value (CLV) Prediction: How much revenue can a business expect to earn from a given customer over the entire duration of their relationship? Accurately estimating CLV enables resource allocation, budget planning for acquisition campaigns, and tiered loyalty programs.</w:t>
      </w:r>
    </w:p>
    <w:p>
      <w:pPr>
        <w:pStyle w:val="ListBullet"/>
        <w:spacing w:line="360" w:lineRule="auto"/>
        <w:jc w:val="both"/>
      </w:pPr>
      <w:r>
        <w:rPr>
          <w:rFonts w:ascii="Times New Roman" w:hAnsi="Times New Roman"/>
          <w:sz w:val="24"/>
        </w:rPr>
        <w:t>Churn Risk Assessment: What is the probability that a specific customer will stop making purchases within the next business cycle? Early identification of churn risk allows proactive retention measures such as personalized offers or win-back email campaigns to be deployed before the customer disengages entirely.</w:t>
      </w:r>
    </w:p>
    <w:p>
      <w:pPr>
        <w:pStyle w:val="ListBullet"/>
        <w:spacing w:line="360" w:lineRule="auto"/>
        <w:jc w:val="both"/>
      </w:pPr>
      <w:r>
        <w:rPr>
          <w:rFonts w:ascii="Times New Roman" w:hAnsi="Times New Roman"/>
          <w:sz w:val="24"/>
        </w:rPr>
        <w:t>Personalized Product Recommendations: Based on a customer's historical interactions, which products are they most likely to purchase next? A strong recommendation engine improves average order value, cross-selling success rates, and overall user engagement.</w:t>
      </w:r>
    </w:p>
    <w:p>
      <w:pPr>
        <w:spacing w:before="0" w:after="0"/>
      </w:pPr>
    </w:p>
    <w:p>
      <w:pPr>
        <w:jc w:val="both"/>
      </w:pPr>
      <w:r>
        <w:rPr>
          <w:rFonts w:ascii="Times New Roman" w:hAnsi="Times New Roman"/>
          <w:b w:val="0"/>
          <w:sz w:val="24"/>
        </w:rPr>
        <w:t>Beyond the predictive models, the project also aims to design a highly usable and interactive user interface, ensuring that the complex outputs of deep learning models are presented in a clear, interpretable manner to non-technical business stakeholders.</w:t>
      </w:r>
    </w:p>
    <w:p>
      <w:pPr>
        <w:pStyle w:val="Heading2"/>
        <w:jc w:val="left"/>
      </w:pPr>
      <w:r>
        <w:rPr>
          <w:color w:val="000000"/>
        </w:rPr>
        <w:t>1.3 Scope</w:t>
      </w:r>
    </w:p>
    <w:p>
      <w:pPr>
        <w:jc w:val="both"/>
      </w:pPr>
      <w:r>
        <w:rPr>
          <w:rFonts w:ascii="Times New Roman" w:hAnsi="Times New Roman"/>
          <w:b w:val="0"/>
          <w:sz w:val="24"/>
        </w:rPr>
        <w:t>Functional Scope: The system provides end-to-end analytical functionality from raw data processing to interactive visualization. It supports individual customer analytics (CLV, Churn, Recommendations), segment-level analytics via K-Means clustering on RFM features, batch-level processing for uploading and analyzing entire customer lists via CSV, automated AI-generated insights summaries, and personalized win-back email drafting.</w:t>
      </w:r>
    </w:p>
    <w:p>
      <w:pPr>
        <w:spacing w:before="0" w:after="0"/>
      </w:pPr>
    </w:p>
    <w:p>
      <w:pPr>
        <w:jc w:val="both"/>
      </w:pPr>
      <w:r>
        <w:rPr>
          <w:rFonts w:ascii="Times New Roman" w:hAnsi="Times New Roman"/>
          <w:b w:val="0"/>
          <w:sz w:val="24"/>
        </w:rPr>
        <w:t>Technical Scope: The implementation covers data engineering (Parquet, preprocessing), machine learning (PyTorch MTL and NCF models, K-Means clustering, SHAP values), backend API development (FastAPI, Pydantic, CORS), and frontend development (Next.js, React, TailwindCSS, Recharts). Infrastructure provisioning via Terraform for AWS EC2 and S3 is also within scope.</w:t>
      </w:r>
    </w:p>
    <w:p>
      <w:pPr>
        <w:spacing w:before="0" w:after="0"/>
      </w:pPr>
    </w:p>
    <w:p>
      <w:pPr>
        <w:jc w:val="both"/>
      </w:pPr>
      <w:r>
        <w:rPr>
          <w:rFonts w:ascii="Times New Roman" w:hAnsi="Times New Roman"/>
          <w:b w:val="0"/>
          <w:sz w:val="24"/>
        </w:rPr>
        <w:t>Out of Scope: Real-time streaming data ingestion, continuous online model retraining, A/B testing frameworks, and direct integration with live e-commerce platforms such as Shopify or WooCommerce are explicitly outside the current scope and are designated as future work.</w:t>
      </w:r>
    </w:p>
    <w:p>
      <w:pPr>
        <w:pStyle w:val="Heading2"/>
        <w:jc w:val="left"/>
      </w:pPr>
      <w:r>
        <w:rPr>
          <w:color w:val="000000"/>
        </w:rPr>
        <w:t>1.4 Motivation</w:t>
      </w:r>
    </w:p>
    <w:p>
      <w:pPr>
        <w:jc w:val="both"/>
      </w:pPr>
      <w:r>
        <w:rPr>
          <w:rFonts w:ascii="Times New Roman" w:hAnsi="Times New Roman"/>
          <w:b w:val="0"/>
          <w:sz w:val="24"/>
        </w:rPr>
        <w:t>The motivation for building Zenthiqa is rooted in two key realities of the modern e-commerce market. The first is the escalating cost of customer acquisition. Research by Bain and Company and Harvard Business School has found that acquiring a new customer can cost anywhere from five to twenty-five times more than retaining an existing one. Even a modest five percent increase in customer retention can lead to a twenty-five to ninety-five percent increase in profits. These figures underscore the immense financial value of a system that can accurately identify at-risk customers early enough for effective retention interventions.</w:t>
      </w:r>
    </w:p>
    <w:p>
      <w:pPr>
        <w:spacing w:before="0" w:after="0"/>
      </w:pPr>
    </w:p>
    <w:p>
      <w:pPr>
        <w:jc w:val="both"/>
      </w:pPr>
      <w:r>
        <w:rPr>
          <w:rFonts w:ascii="Times New Roman" w:hAnsi="Times New Roman"/>
          <w:b w:val="0"/>
          <w:sz w:val="24"/>
        </w:rPr>
        <w:t>The second motivating reality is the inadequacy of existing tools. While enterprise CRM platforms offer customer segmentation features, they are largely based on rule-based thresholds and simple statistical metrics. They do not leverage the expressive power of deep neural networks, which have been shown to vastly outperform traditional statistical methods in capturing the complex, non-linear relationships hidden within large customer datasets. Zenthiqa is motivated by the vision of closing this gap, to bring the predictive accuracy of cutting-edge deep learning to the practical environment of an e-commerce analytics dashboard.</w:t>
      </w:r>
    </w:p>
    <w:p>
      <w:pPr>
        <w:pStyle w:val="Heading2"/>
        <w:jc w:val="left"/>
      </w:pPr>
      <w:r>
        <w:rPr>
          <w:color w:val="000000"/>
        </w:rPr>
        <w:t>1.5 Proposed System</w:t>
      </w:r>
    </w:p>
    <w:p>
      <w:pPr>
        <w:jc w:val="both"/>
      </w:pPr>
      <w:r>
        <w:rPr>
          <w:rFonts w:ascii="Times New Roman" w:hAnsi="Times New Roman"/>
          <w:b w:val="0"/>
          <w:sz w:val="24"/>
        </w:rPr>
        <w:t>The proposed system, Zenthiqa, is a multi-component, microservices-based analytics platform. Its architecture is deliberately separated into distinct, independently deployable layers, each responsible for a specific domain of functionality.</w:t>
      </w:r>
    </w:p>
    <w:p>
      <w:pPr>
        <w:spacing w:before="0" w:after="0"/>
      </w:pPr>
    </w:p>
    <w:p>
      <w:pPr>
        <w:jc w:val="both"/>
      </w:pPr>
      <w:r>
        <w:rPr>
          <w:rFonts w:ascii="Times New Roman" w:hAnsi="Times New Roman"/>
          <w:b w:val="0"/>
          <w:sz w:val="24"/>
        </w:rPr>
        <w:t>At the data layer, the system ingests and processes the UCI Online Retail dataset containing over half a million purchase records. This data is cleaned and aggregated to derive per-customer RFM metrics, then serialized into Apache Parquet format and stored on AWS S3 for fast retrieval.</w:t>
      </w:r>
    </w:p>
    <w:p>
      <w:pPr>
        <w:spacing w:before="0" w:after="0"/>
      </w:pPr>
    </w:p>
    <w:p>
      <w:pPr>
        <w:jc w:val="both"/>
      </w:pPr>
      <w:r>
        <w:rPr>
          <w:rFonts w:ascii="Times New Roman" w:hAnsi="Times New Roman"/>
          <w:b w:val="0"/>
          <w:sz w:val="24"/>
        </w:rPr>
        <w:t>At the intelligence layer, two distinct PyTorch neural network models are trained: an MTL model that jointly predicts CLV and Churn, and an NCF model that generates personalized product recommendations. At the API layer, a FastAPI application exposes RESTful endpoints for all inference and business logic operations. At the presentation layer, a Next.js and React frontend provides the interactive dashboard.</w:t>
      </w:r>
    </w:p>
    <w:p>
      <w:r>
        <w:br w:type="page"/>
      </w:r>
    </w:p>
    <w:p>
      <w:pPr>
        <w:pStyle w:val="Heading1"/>
        <w:jc w:val="left"/>
      </w:pPr>
      <w:r>
        <w:rPr>
          <w:color w:val="000000"/>
        </w:rPr>
        <w:t>CHAPTER 2: LITERATURE SURVEY</w:t>
      </w:r>
    </w:p>
    <w:p>
      <w:pPr>
        <w:pStyle w:val="Heading2"/>
        <w:jc w:val="left"/>
      </w:pPr>
      <w:r>
        <w:rPr>
          <w:color w:val="000000"/>
        </w:rPr>
        <w:t>2.1 Introduction to Literature Survey</w:t>
      </w:r>
    </w:p>
    <w:p>
      <w:pPr>
        <w:jc w:val="both"/>
      </w:pPr>
      <w:r>
        <w:rPr>
          <w:rFonts w:ascii="Times New Roman" w:hAnsi="Times New Roman"/>
          <w:b w:val="0"/>
          <w:sz w:val="24"/>
        </w:rPr>
        <w:t>The literature survey forms the critical academic foundation of this project. It establishes the theoretical context from which Zenthiqa emerges, by systematically reviewing the prior work that has contributed to the fields of customer analytics, deep learning for recommendation systems, multi-task learning, and explainable AI. Understanding the strengths and limitations of these prior works is essential to articulating the specific research gap that this project addresses.</w:t>
      </w:r>
    </w:p>
    <w:p>
      <w:pPr>
        <w:pStyle w:val="Heading2"/>
        <w:jc w:val="left"/>
      </w:pPr>
      <w:r>
        <w:rPr>
          <w:color w:val="000000"/>
        </w:rPr>
        <w:t>2.2 Literature Survey</w:t>
      </w:r>
    </w:p>
    <w:p>
      <w:pPr>
        <w:pStyle w:val="Heading3"/>
        <w:jc w:val="left"/>
      </w:pPr>
      <w:r>
        <w:rPr>
          <w:color w:val="000000"/>
        </w:rPr>
        <w:t>2.2.1 Probabilistic Models for Customer Lifetime Value</w:t>
      </w:r>
    </w:p>
    <w:p>
      <w:pPr>
        <w:jc w:val="both"/>
      </w:pPr>
      <w:r>
        <w:rPr>
          <w:rFonts w:ascii="Times New Roman" w:hAnsi="Times New Roman"/>
          <w:b w:val="0"/>
          <w:sz w:val="24"/>
        </w:rPr>
        <w:t>Authors: Fader, P.S., Hardie, B.G.S., and Lee, K.L.</w:t>
      </w:r>
    </w:p>
    <w:p>
      <w:pPr>
        <w:jc w:val="both"/>
      </w:pPr>
      <w:r>
        <w:rPr>
          <w:rFonts w:ascii="Times New Roman" w:hAnsi="Times New Roman"/>
          <w:b w:val="0"/>
          <w:sz w:val="24"/>
        </w:rPr>
        <w:t>Title: 'Counting Your Customers' the Easy Way: An Alternative to the Pareto/NBD Model. Marketing Science, 2005.</w:t>
      </w:r>
    </w:p>
    <w:p>
      <w:pPr>
        <w:spacing w:before="0" w:after="0"/>
      </w:pPr>
    </w:p>
    <w:p>
      <w:pPr>
        <w:jc w:val="both"/>
      </w:pPr>
      <w:r>
        <w:rPr>
          <w:rFonts w:ascii="Times New Roman" w:hAnsi="Times New Roman"/>
          <w:b w:val="0"/>
          <w:sz w:val="24"/>
        </w:rPr>
        <w:t>This foundational paper introduced the Beta-Geometric/Negative Binomial Distribution (BG/NBD) model, which became the standard probabilistic approach to CLV estimation for over a decade. The BG/NBD model treats the customer purchase process as a Poisson process with a Gamma-distributed rate and models customer dropout using a Beta-distributed probability. While significant, it has two fundamental limitations: it assumes a Poisson purchase distribution which may not reflect real-world burst purchasing behavior, and it is a univariate model. In contrast, Zenthiqa's MTL approach jointly models CLV alongside churn as correlated, multi-variate objectives, enabling richer, more accurate predictions.</w:t>
      </w:r>
    </w:p>
    <w:p>
      <w:pPr>
        <w:spacing w:before="0" w:after="0"/>
      </w:pPr>
    </w:p>
    <w:p>
      <w:pPr>
        <w:pStyle w:val="Heading3"/>
        <w:jc w:val="left"/>
      </w:pPr>
      <w:r>
        <w:rPr>
          <w:color w:val="000000"/>
        </w:rPr>
        <w:t>2.2.2 Machine Learning Approaches to Customer Churn Prediction</w:t>
      </w:r>
    </w:p>
    <w:p>
      <w:pPr>
        <w:jc w:val="both"/>
      </w:pPr>
      <w:r>
        <w:rPr>
          <w:rFonts w:ascii="Times New Roman" w:hAnsi="Times New Roman"/>
          <w:b w:val="0"/>
          <w:sz w:val="24"/>
        </w:rPr>
        <w:t>Authors: Verbeke, W., Dejaeger, K., Martens, D., Hur, J., and Baesens, B.</w:t>
      </w:r>
    </w:p>
    <w:p>
      <w:pPr>
        <w:jc w:val="both"/>
      </w:pPr>
      <w:r>
        <w:rPr>
          <w:rFonts w:ascii="Times New Roman" w:hAnsi="Times New Roman"/>
          <w:b w:val="0"/>
          <w:sz w:val="24"/>
        </w:rPr>
        <w:t>Title: New Insights into Churn Prediction in the Telecommunication Sector. European Journal of Operational Research, 2012.</w:t>
      </w:r>
    </w:p>
    <w:p>
      <w:pPr>
        <w:spacing w:before="0" w:after="0"/>
      </w:pPr>
    </w:p>
    <w:p>
      <w:pPr>
        <w:jc w:val="both"/>
      </w:pPr>
      <w:r>
        <w:rPr>
          <w:rFonts w:ascii="Times New Roman" w:hAnsi="Times New Roman"/>
          <w:b w:val="0"/>
          <w:sz w:val="24"/>
        </w:rPr>
        <w:t>This paper surveyed and benchmarked a comprehensive set of machine learning algorithms including Logistic Regression, Decision Trees, Neural Networks, and Support Vector Machines for churn prediction. The study introduced a profit-driven evaluation framework, arguing that standard accuracy metrics fail to capture the business value of a churn model. Despite its comprehensive comparison, the paper studied single-task models exclusively, ignoring the possibility that simultaneously predicting CLV could improve churn prediction accuracy — as is the case in Zenthiqa's multi-task formulation.</w:t>
      </w:r>
    </w:p>
    <w:p>
      <w:pPr>
        <w:spacing w:before="0" w:after="0"/>
      </w:pPr>
    </w:p>
    <w:p>
      <w:pPr>
        <w:pStyle w:val="Heading3"/>
        <w:jc w:val="left"/>
      </w:pPr>
      <w:r>
        <w:rPr>
          <w:color w:val="000000"/>
        </w:rPr>
        <w:t>2.2.3 Collaborative Filtering and Matrix Factorization</w:t>
      </w:r>
    </w:p>
    <w:p>
      <w:pPr>
        <w:jc w:val="both"/>
      </w:pPr>
      <w:r>
        <w:rPr>
          <w:rFonts w:ascii="Times New Roman" w:hAnsi="Times New Roman"/>
          <w:b w:val="0"/>
          <w:sz w:val="24"/>
        </w:rPr>
        <w:t>Authors: Koren, Y., Bell, R., and Volinsky, C.</w:t>
      </w:r>
    </w:p>
    <w:p>
      <w:pPr>
        <w:jc w:val="both"/>
      </w:pPr>
      <w:r>
        <w:rPr>
          <w:rFonts w:ascii="Times New Roman" w:hAnsi="Times New Roman"/>
          <w:b w:val="0"/>
          <w:sz w:val="24"/>
        </w:rPr>
        <w:t>Title: Matrix Factorization Techniques for Recommender Systems. IEEE Computer, 2009.</w:t>
      </w:r>
    </w:p>
    <w:p>
      <w:pPr>
        <w:spacing w:before="0" w:after="0"/>
      </w:pPr>
    </w:p>
    <w:p>
      <w:pPr>
        <w:jc w:val="both"/>
      </w:pPr>
      <w:r>
        <w:rPr>
          <w:rFonts w:ascii="Times New Roman" w:hAnsi="Times New Roman"/>
          <w:b w:val="0"/>
          <w:sz w:val="24"/>
        </w:rPr>
        <w:t>This seminal work introduced Latent Factor Models for collaborative filtering, showing that factorizing the user-item interaction matrix into low-dimensional latent vectors could produce highly accurate recommendations. However, standard matrix factorization relies on inner products of latent vectors, a linear operation limited in its ability to capture complex, non-linear user-item relationship patterns. This limitation directly motivates the use of the Neural Collaborative Filtering (NCF) model in Zenthiqa, which replaces the inner product with a multi-layer perceptron to learn arbitrary non-linear interaction functions.</w:t>
      </w:r>
    </w:p>
    <w:p>
      <w:pPr>
        <w:spacing w:before="0" w:after="0"/>
      </w:pPr>
    </w:p>
    <w:p>
      <w:pPr>
        <w:pStyle w:val="Heading3"/>
        <w:jc w:val="left"/>
      </w:pPr>
      <w:r>
        <w:rPr>
          <w:color w:val="000000"/>
        </w:rPr>
        <w:t>2.2.4 Neural Collaborative Filtering</w:t>
      </w:r>
    </w:p>
    <w:p>
      <w:pPr>
        <w:jc w:val="both"/>
      </w:pPr>
      <w:r>
        <w:rPr>
          <w:rFonts w:ascii="Times New Roman" w:hAnsi="Times New Roman"/>
          <w:b w:val="0"/>
          <w:sz w:val="24"/>
        </w:rPr>
        <w:t>Authors: He, X., Liao, L., Zhang, H., Nie, L., Hu, X., and Chua, T.S.</w:t>
      </w:r>
    </w:p>
    <w:p>
      <w:pPr>
        <w:jc w:val="both"/>
      </w:pPr>
      <w:r>
        <w:rPr>
          <w:rFonts w:ascii="Times New Roman" w:hAnsi="Times New Roman"/>
          <w:b w:val="0"/>
          <w:sz w:val="24"/>
        </w:rPr>
        <w:t>Title: Neural Collaborative Filtering. Proceedings of the 26th International World Wide Web Conference, 2017.</w:t>
      </w:r>
    </w:p>
    <w:p>
      <w:pPr>
        <w:spacing w:before="0" w:after="0"/>
      </w:pPr>
    </w:p>
    <w:p>
      <w:pPr>
        <w:jc w:val="both"/>
      </w:pPr>
      <w:r>
        <w:rPr>
          <w:rFonts w:ascii="Times New Roman" w:hAnsi="Times New Roman"/>
          <w:b w:val="0"/>
          <w:sz w:val="24"/>
        </w:rPr>
        <w:t>This paper introduced the Neural Collaborative Filtering (NCF) framework, which is the architecture adopted in Zenthiqa. The authors proposed replacing the inner product of traditional matrix factorization with a deep neural network, demonstrating that NCF significantly outperforms traditional matrix factorization methods on multiple real-world benchmark datasets. Zenthiqa adapts this architecture, training the NCF model on implicit feedback derived from the Online Retail purchase history where a purchase event is treated as a positive interaction.</w:t>
      </w:r>
    </w:p>
    <w:p>
      <w:pPr>
        <w:spacing w:before="0" w:after="0"/>
      </w:pPr>
    </w:p>
    <w:p>
      <w:pPr>
        <w:pStyle w:val="Heading3"/>
        <w:jc w:val="left"/>
      </w:pPr>
      <w:r>
        <w:rPr>
          <w:color w:val="000000"/>
        </w:rPr>
        <w:t>2.2.5 An Overview of Multi-Task Learning in Deep Neural Networks</w:t>
      </w:r>
    </w:p>
    <w:p>
      <w:pPr>
        <w:jc w:val="both"/>
      </w:pPr>
      <w:r>
        <w:rPr>
          <w:rFonts w:ascii="Times New Roman" w:hAnsi="Times New Roman"/>
          <w:b w:val="0"/>
          <w:sz w:val="24"/>
        </w:rPr>
        <w:t>Author: Ruder, S.</w:t>
      </w:r>
    </w:p>
    <w:p>
      <w:pPr>
        <w:jc w:val="both"/>
      </w:pPr>
      <w:r>
        <w:rPr>
          <w:rFonts w:ascii="Times New Roman" w:hAnsi="Times New Roman"/>
          <w:b w:val="0"/>
          <w:sz w:val="24"/>
        </w:rPr>
        <w:t>Title: An Overview of Multi-Task Learning in Deep Neural Networks. arXiv preprint arXiv:1706.05098, 2017.</w:t>
      </w:r>
    </w:p>
    <w:p>
      <w:pPr>
        <w:spacing w:before="0" w:after="0"/>
      </w:pPr>
    </w:p>
    <w:p>
      <w:pPr>
        <w:jc w:val="both"/>
      </w:pPr>
      <w:r>
        <w:rPr>
          <w:rFonts w:ascii="Times New Roman" w:hAnsi="Times New Roman"/>
          <w:b w:val="0"/>
          <w:sz w:val="24"/>
        </w:rPr>
        <w:t>This comprehensive survey systematically reviewed the paradigm of Multi-Task Learning (MTL) in deep neural networks. MTL trains a single model on multiple related tasks simultaneously, with the rationale that shared internal representations capture richer features than any single-task model. Ruder identified two primary MTL architectures: hard parameter sharing and soft parameter sharing. The Zenthiqa MTL model uses hard parameter sharing, with a single shared encoder feeding into a CLV regression head and a Churn classification head separately.</w:t>
      </w:r>
    </w:p>
    <w:p>
      <w:pPr>
        <w:spacing w:before="0" w:after="0"/>
      </w:pPr>
    </w:p>
    <w:p>
      <w:pPr>
        <w:pStyle w:val="Heading3"/>
        <w:jc w:val="left"/>
      </w:pPr>
      <w:r>
        <w:rPr>
          <w:color w:val="000000"/>
        </w:rPr>
        <w:t>2.2.6 SHAP: A Unified Approach to Interpreting Model Predictions</w:t>
      </w:r>
    </w:p>
    <w:p>
      <w:pPr>
        <w:jc w:val="both"/>
      </w:pPr>
      <w:r>
        <w:rPr>
          <w:rFonts w:ascii="Times New Roman" w:hAnsi="Times New Roman"/>
          <w:b w:val="0"/>
          <w:sz w:val="24"/>
        </w:rPr>
        <w:t>Authors: Lundberg, S.M. and Lee, S.I.</w:t>
      </w:r>
    </w:p>
    <w:p>
      <w:pPr>
        <w:jc w:val="both"/>
      </w:pPr>
      <w:r>
        <w:rPr>
          <w:rFonts w:ascii="Times New Roman" w:hAnsi="Times New Roman"/>
          <w:b w:val="0"/>
          <w:sz w:val="24"/>
        </w:rPr>
        <w:t>Title: A Unified Approach to Interpreting Model Predictions. Advances in Neural Information Processing Systems (NeurIPS), 2017.</w:t>
      </w:r>
    </w:p>
    <w:p>
      <w:pPr>
        <w:spacing w:before="0" w:after="0"/>
      </w:pPr>
    </w:p>
    <w:p>
      <w:pPr>
        <w:jc w:val="both"/>
      </w:pPr>
      <w:r>
        <w:rPr>
          <w:rFonts w:ascii="Times New Roman" w:hAnsi="Times New Roman"/>
          <w:b w:val="0"/>
          <w:sz w:val="24"/>
        </w:rPr>
        <w:t>This landmark paper introduced SHAP (SHapley Additive exPlanations), a game-theoretic approach to explaining the output of any machine learning model. Grounded in Shapley values from cooperative game theory, SHAP assigns each input feature an importance score representing its marginal contribution. The paper proved that SHAP values are the only additive feature attribution method satisfying local accuracy, missingness, and consistency simultaneously. In Zenthiqa, exact Shapley values are computed over the three RFM features to power the What-If simulator, making the model's output interpretable for non-technical business users.</w:t>
      </w:r>
    </w:p>
    <w:p>
      <w:pPr>
        <w:spacing w:before="0" w:after="0"/>
      </w:pPr>
    </w:p>
    <w:p>
      <w:pPr>
        <w:pStyle w:val="Heading3"/>
        <w:jc w:val="left"/>
      </w:pPr>
      <w:r>
        <w:rPr>
          <w:color w:val="000000"/>
        </w:rPr>
        <w:t>2.2.7 Hidden Technical Debt in Machine Learning Systems</w:t>
      </w:r>
    </w:p>
    <w:p>
      <w:pPr>
        <w:jc w:val="both"/>
      </w:pPr>
      <w:r>
        <w:rPr>
          <w:rFonts w:ascii="Times New Roman" w:hAnsi="Times New Roman"/>
          <w:b w:val="0"/>
          <w:sz w:val="24"/>
        </w:rPr>
        <w:t>Authors: Sculley, D., et al.</w:t>
      </w:r>
    </w:p>
    <w:p>
      <w:pPr>
        <w:jc w:val="both"/>
      </w:pPr>
      <w:r>
        <w:rPr>
          <w:rFonts w:ascii="Times New Roman" w:hAnsi="Times New Roman"/>
          <w:b w:val="0"/>
          <w:sz w:val="24"/>
        </w:rPr>
        <w:t>Title: Hidden Technical Debt in Machine Learning Systems. Advances in Neural Information Processing Systems (NeurIPS), 2015.</w:t>
      </w:r>
    </w:p>
    <w:p>
      <w:pPr>
        <w:spacing w:before="0" w:after="0"/>
      </w:pPr>
    </w:p>
    <w:p>
      <w:pPr>
        <w:jc w:val="both"/>
      </w:pPr>
      <w:r>
        <w:rPr>
          <w:rFonts w:ascii="Times New Roman" w:hAnsi="Times New Roman"/>
          <w:b w:val="0"/>
          <w:sz w:val="24"/>
        </w:rPr>
        <w:t>This influential work from Google engineers highlighted the hidden technical debt that accumulates when machine learning models are tightly coupled to their serving infrastructure. The authors advocated for clean, modular boundaries between data preprocessing, model training, and model serving. This principle directly informed the Zenthiqa architecture, where the FastAPI backend acts as a well-defined serving microservice completely decoupled from the training pipeline, consuming only serialized model artifacts and preprocessed data.</w:t>
      </w:r>
    </w:p>
    <w:p>
      <w:pPr>
        <w:pStyle w:val="Heading2"/>
        <w:jc w:val="left"/>
      </w:pPr>
      <w:r>
        <w:rPr>
          <w:color w:val="000000"/>
        </w:rPr>
        <w:t>2.3 Research Gap and Motivation</w:t>
      </w:r>
    </w:p>
    <w:p>
      <w:pPr>
        <w:jc w:val="both"/>
      </w:pPr>
      <w:r>
        <w:rPr>
          <w:rFonts w:ascii="Times New Roman" w:hAnsi="Times New Roman"/>
          <w:b w:val="0"/>
          <w:sz w:val="24"/>
        </w:rPr>
        <w:t>The reviewed literature demonstrates strong prior work in each individual domain: CLV modeling (BG/NBD), churn prediction (ML benchmarking), recommendation systems (NCF), multi-task learning (Ruder, 2017), and model explainability (SHAP). However, the critical research gap that Zenthiqa addresses is the absence of a unified, deployed system that integrates all of these components into a single, coherent, and business-usable platform. No existing open-source platform simultaneously combines CLV and Churn prediction using an MTL architecture with collaborative filtering recommendations and SHAP-based interpretability in a single dashboard. Zenthiqa fills this gap by delivering a complete, deployable, and integrated platform.</w:t>
      </w:r>
    </w:p>
    <w:p>
      <w:r>
        <w:br w:type="page"/>
      </w:r>
    </w:p>
    <w:p>
      <w:pPr>
        <w:pStyle w:val="Heading1"/>
        <w:jc w:val="left"/>
      </w:pPr>
      <w:r>
        <w:rPr>
          <w:color w:val="000000"/>
        </w:rPr>
        <w:t>CHAPTER 3: SYSTEM ANALYSIS</w:t>
      </w:r>
    </w:p>
    <w:p>
      <w:pPr>
        <w:pStyle w:val="Heading2"/>
        <w:jc w:val="left"/>
      </w:pPr>
      <w:r>
        <w:rPr>
          <w:color w:val="000000"/>
        </w:rPr>
        <w:t>3.1 Introduction</w:t>
      </w:r>
    </w:p>
    <w:p>
      <w:pPr>
        <w:jc w:val="both"/>
      </w:pPr>
      <w:r>
        <w:rPr>
          <w:rFonts w:ascii="Times New Roman" w:hAnsi="Times New Roman"/>
          <w:b w:val="0"/>
          <w:sz w:val="24"/>
        </w:rPr>
        <w:t>System analysis is the process of examining the existing state of solutions available to solve a business problem, identifying their deficiencies, and clearly formulating the requirements for a superior proposed system. For Zenthiqa, this involves a critical examination of how e-commerce businesses currently approach customer analytics, an honest assessment of the shortcomings of those existing approaches, and a precise specification of what the proposed system must accomplish to improve upon them.</w:t>
      </w:r>
    </w:p>
    <w:p>
      <w:pPr>
        <w:pStyle w:val="Heading2"/>
        <w:jc w:val="left"/>
      </w:pPr>
      <w:r>
        <w:rPr>
          <w:color w:val="000000"/>
        </w:rPr>
        <w:t>3.2 Problem Statement</w:t>
      </w:r>
    </w:p>
    <w:p>
      <w:pPr>
        <w:jc w:val="both"/>
      </w:pPr>
      <w:r>
        <w:rPr>
          <w:rFonts w:ascii="Times New Roman" w:hAnsi="Times New Roman"/>
          <w:b w:val="0"/>
          <w:sz w:val="24"/>
        </w:rPr>
        <w:t>The existing landscape of e-commerce analytics tools suffers from a fundamental fragmentation between data analysis, predictive modeling, and business-facing user interfaces. The specific problems that necessitate the development of Zenthiqa are as follows:</w:t>
      </w:r>
    </w:p>
    <w:p>
      <w:pPr>
        <w:spacing w:before="0" w:after="0"/>
      </w:pPr>
    </w:p>
    <w:p>
      <w:pPr>
        <w:pStyle w:val="ListNumber"/>
        <w:spacing w:line="360" w:lineRule="auto"/>
        <w:jc w:val="both"/>
      </w:pPr>
      <w:r>
        <w:rPr>
          <w:rFonts w:ascii="Times New Roman" w:hAnsi="Times New Roman"/>
          <w:sz w:val="24"/>
        </w:rPr>
        <w:t>Lack of Integrated Predictive Analytics: No existing tool seamlessly integrates CLV prediction, churn risk scoring, and product recommendations into a single, unified dashboard derived from the same underlying customer data model.</w:t>
      </w:r>
    </w:p>
    <w:p>
      <w:pPr>
        <w:pStyle w:val="ListNumber"/>
        <w:spacing w:line="360" w:lineRule="auto"/>
        <w:jc w:val="both"/>
      </w:pPr>
      <w:r>
        <w:rPr>
          <w:rFonts w:ascii="Times New Roman" w:hAnsi="Times New Roman"/>
          <w:sz w:val="24"/>
        </w:rPr>
        <w:t>Absence of Multi-Task Learning: Existing deployable solutions treat CLV and Churn as separate, independent problems, ignoring the statistical correlation between them.</w:t>
      </w:r>
    </w:p>
    <w:p>
      <w:pPr>
        <w:pStyle w:val="ListNumber"/>
        <w:spacing w:line="360" w:lineRule="auto"/>
        <w:jc w:val="both"/>
      </w:pPr>
      <w:r>
        <w:rPr>
          <w:rFonts w:ascii="Times New Roman" w:hAnsi="Times New Roman"/>
          <w:sz w:val="24"/>
        </w:rPr>
        <w:t>Black-Box Models without Interpretability: Deployed predictive analytics systems rarely expose the reasoning behind their predictions to end users, limiting trust and actionability.</w:t>
      </w:r>
    </w:p>
    <w:p>
      <w:pPr>
        <w:pStyle w:val="ListNumber"/>
        <w:spacing w:line="360" w:lineRule="auto"/>
        <w:jc w:val="both"/>
      </w:pPr>
      <w:r>
        <w:rPr>
          <w:rFonts w:ascii="Times New Roman" w:hAnsi="Times New Roman"/>
          <w:sz w:val="24"/>
        </w:rPr>
        <w:t>No Interactive Simulation Capability: Existing tools are read-only dashboards that do not support scenario planning for evaluating the return on investment of a retention intervention.</w:t>
      </w:r>
    </w:p>
    <w:p>
      <w:pPr>
        <w:pStyle w:val="ListNumber"/>
        <w:spacing w:line="360" w:lineRule="auto"/>
        <w:jc w:val="both"/>
      </w:pPr>
      <w:r>
        <w:rPr>
          <w:rFonts w:ascii="Times New Roman" w:hAnsi="Times New Roman"/>
          <w:sz w:val="24"/>
        </w:rPr>
        <w:t>Manual Retention Campaign Creation: Crafting personalized win-back emails is a time-consuming, manual task with no automated support in existing dashboard tools.</w:t>
      </w:r>
    </w:p>
    <w:p>
      <w:pPr>
        <w:pStyle w:val="Heading2"/>
        <w:jc w:val="left"/>
      </w:pPr>
      <w:r>
        <w:rPr>
          <w:color w:val="000000"/>
        </w:rPr>
        <w:t>3.3 Existing System</w:t>
      </w:r>
    </w:p>
    <w:p>
      <w:pPr>
        <w:jc w:val="both"/>
      </w:pPr>
      <w:r>
        <w:rPr>
          <w:rFonts w:ascii="Times New Roman" w:hAnsi="Times New Roman"/>
          <w:b w:val="0"/>
          <w:sz w:val="24"/>
        </w:rPr>
        <w:t>Traditional Business Intelligence (BI) Tools such as Tableau and Power BI offer powerful data visualization capabilities. However, they are fundamentally backward-looking, describing what has already happened rather than predicting what will happen. They lack predictive modeling capabilities, and integrating a custom machine learning model requires complex scripting that is difficult to maintain.</w:t>
      </w:r>
    </w:p>
    <w:p>
      <w:pPr>
        <w:spacing w:before="0" w:after="0"/>
      </w:pPr>
    </w:p>
    <w:p>
      <w:pPr>
        <w:jc w:val="both"/>
      </w:pPr>
      <w:r>
        <w:rPr>
          <w:rFonts w:ascii="Times New Roman" w:hAnsi="Times New Roman"/>
          <w:b w:val="0"/>
          <w:sz w:val="24"/>
        </w:rPr>
        <w:t>CRM Platforms such as Salesforce Einstein Analytics and HubSpot offer a closer integration of customer data with predictive scoring. However, their predictive models are largely proprietary black boxes trained on generic behavioral signals. They do not allow customization of the underlying model architecture, and they do not expose interpretability features that would allow a business manager to understand why a particular customer is predicted to churn.</w:t>
      </w:r>
    </w:p>
    <w:p>
      <w:pPr>
        <w:spacing w:before="0" w:after="0"/>
      </w:pPr>
    </w:p>
    <w:p>
      <w:pPr>
        <w:jc w:val="both"/>
      </w:pPr>
      <w:r>
        <w:rPr>
          <w:rFonts w:ascii="Times New Roman" w:hAnsi="Times New Roman"/>
          <w:b w:val="0"/>
          <w:sz w:val="24"/>
        </w:rPr>
        <w:t>Standalone ML Toolkits such as Scikit-learn and PyCaret provide Python-based environments for building custom predictive models. While they offer maximum flexibility, they produce model artifacts that are completely disconnected from any serving infrastructure. Deploying a model as a live, interactive web dashboard requires significant additional engineering effort beyond the scope of these toolkits.</w:t>
      </w:r>
    </w:p>
    <w:p>
      <w:pPr>
        <w:pStyle w:val="Heading2"/>
        <w:jc w:val="left"/>
      </w:pPr>
      <w:r>
        <w:rPr>
          <w:color w:val="000000"/>
        </w:rPr>
        <w:t>3.4 System Requirements Analysis</w:t>
      </w:r>
    </w:p>
    <w:p>
      <w:pPr>
        <w:pStyle w:val="Heading3"/>
        <w:jc w:val="left"/>
      </w:pPr>
      <w:r>
        <w:rPr>
          <w:color w:val="000000"/>
        </w:rPr>
        <w:t>3.4.1 Functional Requirements</w:t>
      </w:r>
    </w:p>
    <w:p>
      <w:pPr>
        <w:pStyle w:val="ListBullet"/>
        <w:spacing w:line="360" w:lineRule="auto"/>
        <w:jc w:val="both"/>
      </w:pPr>
      <w:r>
        <w:rPr>
          <w:rFonts w:ascii="Times New Roman" w:hAnsi="Times New Roman"/>
          <w:sz w:val="24"/>
        </w:rPr>
        <w:t>The system shall accept a Customer ID and return the predicted CLV, Churn probability, behavioral segment, SHAP values, and product recommendations within 200ms.</w:t>
      </w:r>
    </w:p>
    <w:p>
      <w:pPr>
        <w:pStyle w:val="ListBullet"/>
        <w:spacing w:line="360" w:lineRule="auto"/>
        <w:jc w:val="both"/>
      </w:pPr>
      <w:r>
        <w:rPr>
          <w:rFonts w:ascii="Times New Roman" w:hAnsi="Times New Roman"/>
          <w:sz w:val="24"/>
        </w:rPr>
        <w:t>The system shall process a batch CSV file of up to 500 customer IDs and return a scored results CSV file.</w:t>
      </w:r>
    </w:p>
    <w:p>
      <w:pPr>
        <w:pStyle w:val="ListBullet"/>
        <w:spacing w:line="360" w:lineRule="auto"/>
        <w:jc w:val="both"/>
      </w:pPr>
      <w:r>
        <w:rPr>
          <w:rFonts w:ascii="Times New Roman" w:hAnsi="Times New Roman"/>
          <w:sz w:val="24"/>
        </w:rPr>
        <w:t>The system shall display all customers with a predicted churn probability exceeding 60 percent in the At-Risk customers table.</w:t>
      </w:r>
    </w:p>
    <w:p>
      <w:pPr>
        <w:pStyle w:val="ListBullet"/>
        <w:spacing w:line="360" w:lineRule="auto"/>
        <w:jc w:val="both"/>
      </w:pPr>
      <w:r>
        <w:rPr>
          <w:rFonts w:ascii="Times New Roman" w:hAnsi="Times New Roman"/>
          <w:sz w:val="24"/>
        </w:rPr>
        <w:t>The system shall generate a personalized win-back email draft for any selected at-risk customer.</w:t>
      </w:r>
    </w:p>
    <w:p>
      <w:pPr>
        <w:pStyle w:val="ListBullet"/>
        <w:spacing w:line="360" w:lineRule="auto"/>
        <w:jc w:val="both"/>
      </w:pPr>
      <w:r>
        <w:rPr>
          <w:rFonts w:ascii="Times New Roman" w:hAnsi="Times New Roman"/>
          <w:sz w:val="24"/>
        </w:rPr>
        <w:t>The system shall allow users to adjust RFM slider values and display updated predictions in real time via the What-If simulator.</w:t>
      </w:r>
    </w:p>
    <w:p>
      <w:pPr>
        <w:pStyle w:val="Heading3"/>
        <w:jc w:val="left"/>
      </w:pPr>
      <w:r>
        <w:rPr>
          <w:color w:val="000000"/>
        </w:rPr>
        <w:t>3.4.2 Non-Functional Requirements</w:t>
      </w:r>
    </w:p>
    <w:p>
      <w:pPr>
        <w:pStyle w:val="ListBullet"/>
        <w:spacing w:line="360" w:lineRule="auto"/>
        <w:jc w:val="both"/>
      </w:pPr>
      <w:r>
        <w:rPr>
          <w:rFonts w:ascii="Times New Roman" w:hAnsi="Times New Roman"/>
          <w:sz w:val="24"/>
        </w:rPr>
        <w:t>Performance: Individual API endpoint response time shall not exceed 200ms under single-user conditions.</w:t>
      </w:r>
    </w:p>
    <w:p>
      <w:pPr>
        <w:pStyle w:val="ListBullet"/>
        <w:spacing w:line="360" w:lineRule="auto"/>
        <w:jc w:val="both"/>
      </w:pPr>
      <w:r>
        <w:rPr>
          <w:rFonts w:ascii="Times New Roman" w:hAnsi="Times New Roman"/>
          <w:sz w:val="24"/>
        </w:rPr>
        <w:t>Scalability: The microservices architecture shall allow independent scaling of the frontend and backend components.</w:t>
      </w:r>
    </w:p>
    <w:p>
      <w:pPr>
        <w:pStyle w:val="ListBullet"/>
        <w:spacing w:line="360" w:lineRule="auto"/>
        <w:jc w:val="both"/>
      </w:pPr>
      <w:r>
        <w:rPr>
          <w:rFonts w:ascii="Times New Roman" w:hAnsi="Times New Roman"/>
          <w:sz w:val="24"/>
        </w:rPr>
        <w:t>Reliability: The system shall achieve 99.5 percent uptime for the backend API during the active usage period.</w:t>
      </w:r>
    </w:p>
    <w:p>
      <w:pPr>
        <w:pStyle w:val="ListBullet"/>
        <w:spacing w:line="360" w:lineRule="auto"/>
        <w:jc w:val="both"/>
      </w:pPr>
      <w:r>
        <w:rPr>
          <w:rFonts w:ascii="Times New Roman" w:hAnsi="Times New Roman"/>
          <w:sz w:val="24"/>
        </w:rPr>
        <w:t>Security: All API endpoints shall implement CORS policies to restrict cross-origin access to authorized frontend domains only.</w:t>
      </w:r>
    </w:p>
    <w:p>
      <w:pPr>
        <w:pStyle w:val="ListBullet"/>
        <w:spacing w:line="360" w:lineRule="auto"/>
        <w:jc w:val="both"/>
      </w:pPr>
      <w:r>
        <w:rPr>
          <w:rFonts w:ascii="Times New Roman" w:hAnsi="Times New Roman"/>
          <w:sz w:val="24"/>
        </w:rPr>
        <w:t>Usability: The dashboard interface shall be operable by a non-technical business user without any machine learning knowledge.</w:t>
      </w:r>
    </w:p>
    <w:p>
      <w:pPr>
        <w:pStyle w:val="Heading2"/>
        <w:jc w:val="left"/>
      </w:pPr>
      <w:r>
        <w:rPr>
          <w:color w:val="000000"/>
        </w:rPr>
        <w:t>3.5 Feasibility Analysis</w:t>
      </w:r>
    </w:p>
    <w:p>
      <w:pPr>
        <w:pStyle w:val="Heading3"/>
        <w:jc w:val="left"/>
      </w:pPr>
      <w:r>
        <w:rPr>
          <w:color w:val="000000"/>
        </w:rPr>
        <w:t>3.5.1 Technical Feasibility</w:t>
      </w:r>
    </w:p>
    <w:p>
      <w:pPr>
        <w:jc w:val="both"/>
      </w:pPr>
      <w:r>
        <w:rPr>
          <w:rFonts w:ascii="Times New Roman" w:hAnsi="Times New Roman"/>
          <w:b w:val="0"/>
          <w:sz w:val="24"/>
        </w:rPr>
        <w:t>All technologies required for Zenthiqa are mature, well-documented, and freely available. PyTorch is the de-facto standard for deep learning. FastAPI is a production-grade Python web framework. Next.js is a widely adopted React framework. AWS EC2 and S3 provide scalable cloud infrastructure. No proprietary technologies are required. The project is therefore technically feasible.</w:t>
      </w:r>
    </w:p>
    <w:p>
      <w:pPr>
        <w:pStyle w:val="Heading3"/>
        <w:jc w:val="left"/>
      </w:pPr>
      <w:r>
        <w:rPr>
          <w:color w:val="000000"/>
        </w:rPr>
        <w:t>3.5.2 Operational Feasibility</w:t>
      </w:r>
    </w:p>
    <w:p>
      <w:pPr>
        <w:jc w:val="both"/>
      </w:pPr>
      <w:r>
        <w:rPr>
          <w:rFonts w:ascii="Times New Roman" w:hAnsi="Times New Roman"/>
          <w:b w:val="0"/>
          <w:sz w:val="24"/>
        </w:rPr>
        <w:t>The Zenthiqa dashboard is designed with business usability as a primary concern. The interface is intuitive with clearly labeled tabs, interactive charts, and plain-language explanations. A non-technical business manager can search for a customer, view their risk score, run a What-If simulation, and draft a win-back email without any machine learning knowledge. The system is therefore operationally feasible.</w:t>
      </w:r>
    </w:p>
    <w:p>
      <w:pPr>
        <w:pStyle w:val="Heading3"/>
        <w:jc w:val="left"/>
      </w:pPr>
      <w:r>
        <w:rPr>
          <w:color w:val="000000"/>
        </w:rPr>
        <w:t>3.5.3 Economic Feasibility</w:t>
      </w:r>
    </w:p>
    <w:p>
      <w:pPr>
        <w:jc w:val="both"/>
      </w:pPr>
      <w:r>
        <w:rPr>
          <w:rFonts w:ascii="Times New Roman" w:hAnsi="Times New Roman"/>
          <w:b w:val="0"/>
          <w:sz w:val="24"/>
        </w:rPr>
        <w:t>The project was built entirely using free and open-source software. The only financial cost is the AWS cloud deployment using a t2.micro EC2 instance and minimal S3 storage, both covered under the AWS Free Tier for the duration of the academic project. The project is therefore economically feasible.</w:t>
      </w:r>
    </w:p>
    <w:p>
      <w:pPr>
        <w:pStyle w:val="Heading3"/>
        <w:jc w:val="left"/>
      </w:pPr>
      <w:r>
        <w:rPr>
          <w:color w:val="000000"/>
        </w:rPr>
        <w:t>3.5.4 Time Feasibility</w:t>
      </w:r>
    </w:p>
    <w:p>
      <w:pPr>
        <w:jc w:val="both"/>
      </w:pPr>
      <w:r>
        <w:rPr>
          <w:rFonts w:ascii="Times New Roman" w:hAnsi="Times New Roman"/>
          <w:b w:val="0"/>
          <w:sz w:val="24"/>
        </w:rPr>
        <w:t>The project was completed within one academic semester. The development was structured in four phases: data engineering and model training (Weeks 1–4), backend API development (Weeks 5–8), frontend dashboard development (Weeks 9–12), and testing, deployment, and documentation (Weeks 13–16). All phases were completed within the scheduled timeline, confirming time feasibility.</w:t>
      </w:r>
    </w:p>
    <w:p>
      <w:pPr>
        <w:pStyle w:val="Heading2"/>
        <w:jc w:val="left"/>
      </w:pPr>
      <w:r>
        <w:rPr>
          <w:color w:val="000000"/>
        </w:rPr>
        <w:t>3.6 Modules</w:t>
      </w:r>
    </w:p>
    <w:p>
      <w:pPr>
        <w:pStyle w:val="Heading3"/>
        <w:jc w:val="left"/>
      </w:pPr>
      <w:r>
        <w:rPr>
          <w:color w:val="000000"/>
        </w:rPr>
        <w:t>3.6.1 Data Ingestion and Preprocessing Module</w:t>
      </w:r>
    </w:p>
    <w:p>
      <w:pPr>
        <w:jc w:val="both"/>
      </w:pPr>
      <w:r>
        <w:rPr>
          <w:rFonts w:ascii="Times New Roman" w:hAnsi="Times New Roman"/>
          <w:b w:val="0"/>
          <w:sz w:val="24"/>
        </w:rPr>
        <w:t>Responsible for the entire data pipeline. Performs cleaning of the UCI Online Retail dataset by removing null CustomerIDs and invalid transactions, calculates per-customer RFM metrics, normalizes features using Min-Max scaling, constructs the user-item interaction matrix, and serializes processed data into Parquet format for cloud storage.</w:t>
      </w:r>
    </w:p>
    <w:p>
      <w:pPr>
        <w:pStyle w:val="Heading3"/>
        <w:jc w:val="left"/>
      </w:pPr>
      <w:r>
        <w:rPr>
          <w:color w:val="000000"/>
        </w:rPr>
        <w:t>3.6.2 Multi-Task Learning (MTL) Model Module</w:t>
      </w:r>
    </w:p>
    <w:p>
      <w:pPr>
        <w:jc w:val="both"/>
      </w:pPr>
      <w:r>
        <w:rPr>
          <w:rFonts w:ascii="Times New Roman" w:hAnsi="Times New Roman"/>
          <w:b w:val="0"/>
          <w:sz w:val="24"/>
        </w:rPr>
        <w:t>Implements the core PyTorch neural network with hard parameter sharing. A shared encoder maps RFM features to a latent representation. A CLV regression head outputs the predicted lifetime value. A Churn classification head outputs the churn probability using Sigmoid activation. The model is trained jointly using a combined MSE and BCE loss function.</w:t>
      </w:r>
    </w:p>
    <w:p>
      <w:pPr>
        <w:pStyle w:val="Heading3"/>
        <w:jc w:val="left"/>
      </w:pPr>
      <w:r>
        <w:rPr>
          <w:color w:val="000000"/>
        </w:rPr>
        <w:t>3.6.3 Neural Collaborative Filtering (NCF) Module</w:t>
      </w:r>
    </w:p>
    <w:p>
      <w:pPr>
        <w:jc w:val="both"/>
      </w:pPr>
      <w:r>
        <w:rPr>
          <w:rFonts w:ascii="Times New Roman" w:hAnsi="Times New Roman"/>
          <w:b w:val="0"/>
          <w:sz w:val="24"/>
        </w:rPr>
        <w:t>Implements the product recommendation model. Maps customer IDs and product IDs to dense embedding vectors. A three-layer MLP processes the concatenated embeddings to predict interaction probability. Trained on implicit feedback from purchase events. During inference, scores all products for a given customer and returns the top-N recommendations.</w:t>
      </w:r>
    </w:p>
    <w:p>
      <w:pPr>
        <w:pStyle w:val="Heading3"/>
        <w:jc w:val="left"/>
      </w:pPr>
      <w:r>
        <w:rPr>
          <w:color w:val="000000"/>
        </w:rPr>
        <w:t>3.6.4 Customer Segmentation Module</w:t>
      </w:r>
    </w:p>
    <w:p>
      <w:pPr>
        <w:jc w:val="both"/>
      </w:pPr>
      <w:r>
        <w:rPr>
          <w:rFonts w:ascii="Times New Roman" w:hAnsi="Times New Roman"/>
          <w:b w:val="0"/>
          <w:sz w:val="24"/>
        </w:rPr>
        <w:t>Applies K-Means clustering to the normalized RFM feature space to partition the customer base into four segments: Champions, Loyal Customers, At-Risk, and Lost. Cluster assignments are computed at startup and power the segment distribution charts and the at-risk customer table.</w:t>
      </w:r>
    </w:p>
    <w:p>
      <w:pPr>
        <w:pStyle w:val="Heading3"/>
        <w:jc w:val="left"/>
      </w:pPr>
      <w:r>
        <w:rPr>
          <w:color w:val="000000"/>
        </w:rPr>
        <w:t>3.6.5 FastAPI Backend Service Module</w:t>
      </w:r>
    </w:p>
    <w:p>
      <w:pPr>
        <w:jc w:val="both"/>
      </w:pPr>
      <w:r>
        <w:rPr>
          <w:rFonts w:ascii="Times New Roman" w:hAnsi="Times New Roman"/>
          <w:b w:val="0"/>
          <w:sz w:val="24"/>
        </w:rPr>
        <w:t>The serving infrastructure of the system. Loads all model artifacts and data files at startup. Exposes RESTful endpoints for customer prediction, batch processing, What-If simulation, SHAP computation, at-risk customer retrieval, product recommendations, AI insights generation, and win-back email drafting.</w:t>
      </w:r>
    </w:p>
    <w:p>
      <w:pPr>
        <w:pStyle w:val="Heading3"/>
        <w:jc w:val="left"/>
      </w:pPr>
      <w:r>
        <w:rPr>
          <w:color w:val="000000"/>
        </w:rPr>
        <w:t>3.6.6 Next.js Frontend Dashboard Module</w:t>
      </w:r>
    </w:p>
    <w:p>
      <w:pPr>
        <w:jc w:val="both"/>
      </w:pPr>
      <w:r>
        <w:rPr>
          <w:rFonts w:ascii="Times New Roman" w:hAnsi="Times New Roman"/>
          <w:b w:val="0"/>
          <w:sz w:val="24"/>
        </w:rPr>
        <w:t>The user-facing component. A Next.js single-page application rendering five tabbed views: Overview, Customer Insights, Products, Batch Processing, and At-Risk Customers. Communicates with the FastAPI backend via HTTP API calls and renders results as interactive charts, metric cards, and data tables.</w:t>
      </w:r>
    </w:p>
    <w:p>
      <w:r>
        <w:br w:type="page"/>
      </w:r>
    </w:p>
    <w:p>
      <w:pPr>
        <w:pStyle w:val="Heading1"/>
        <w:jc w:val="left"/>
      </w:pPr>
      <w:r>
        <w:rPr>
          <w:color w:val="000000"/>
        </w:rPr>
        <w:t>CHAPTER 4: SYSTEM REQUIREMENTS</w:t>
      </w:r>
    </w:p>
    <w:p>
      <w:pPr>
        <w:pStyle w:val="Heading2"/>
        <w:jc w:val="left"/>
      </w:pPr>
      <w:r>
        <w:rPr>
          <w:color w:val="000000"/>
        </w:rPr>
        <w:t>4.1 Software Requirements</w:t>
      </w:r>
    </w:p>
    <w:tbl>
      <w:tblPr>
        <w:tblStyle w:val="TableGrid"/>
        <w:tblW w:type="auto" w:w="0"/>
        <w:tblLook w:firstColumn="1" w:firstRow="1" w:lastColumn="0" w:lastRow="0" w:noHBand="0" w:noVBand="1" w:val="04A0"/>
      </w:tblPr>
      <w:tblGrid>
        <w:gridCol w:w="4500"/>
        <w:gridCol w:w="4500"/>
      </w:tblGrid>
      <w:tr>
        <w:tc>
          <w:tcPr>
            <w:tcW w:type="dxa" w:w="4500"/>
          </w:tcPr>
          <w:p>
            <w:r>
              <w:rPr>
                <w:b/>
                <w:sz w:val="22"/>
              </w:rPr>
              <w:t>Software / Library</w:t>
            </w:r>
          </w:p>
        </w:tc>
        <w:tc>
          <w:tcPr>
            <w:tcW w:type="dxa" w:w="4500"/>
          </w:tcPr>
          <w:p>
            <w:r>
              <w:rPr>
                <w:b/>
                <w:sz w:val="22"/>
              </w:rPr>
              <w:t>Purpose</w:t>
            </w:r>
          </w:p>
        </w:tc>
      </w:tr>
      <w:tr>
        <w:tc>
          <w:tcPr>
            <w:tcW w:type="dxa" w:w="4500"/>
          </w:tcPr>
          <w:p>
            <w:r>
              <w:rPr>
                <w:sz w:val="22"/>
              </w:rPr>
              <w:t>Python 3.11+</w:t>
            </w:r>
          </w:p>
        </w:tc>
        <w:tc>
          <w:tcPr>
            <w:tcW w:type="dxa" w:w="4500"/>
          </w:tcPr>
          <w:p>
            <w:r>
              <w:rPr>
                <w:sz w:val="22"/>
              </w:rPr>
              <w:t>Backend language for ML model training and FastAPI server</w:t>
            </w:r>
          </w:p>
        </w:tc>
      </w:tr>
      <w:tr>
        <w:tc>
          <w:tcPr>
            <w:tcW w:type="dxa" w:w="4500"/>
          </w:tcPr>
          <w:p>
            <w:r>
              <w:rPr>
                <w:sz w:val="22"/>
              </w:rPr>
              <w:t>PyTorch 2.0+</w:t>
            </w:r>
          </w:p>
        </w:tc>
        <w:tc>
          <w:tcPr>
            <w:tcW w:type="dxa" w:w="4500"/>
          </w:tcPr>
          <w:p>
            <w:r>
              <w:rPr>
                <w:sz w:val="22"/>
              </w:rPr>
              <w:t>Deep learning framework for MTL and NCF model implementation</w:t>
            </w:r>
          </w:p>
        </w:tc>
      </w:tr>
      <w:tr>
        <w:tc>
          <w:tcPr>
            <w:tcW w:type="dxa" w:w="4500"/>
          </w:tcPr>
          <w:p>
            <w:r>
              <w:rPr>
                <w:sz w:val="22"/>
              </w:rPr>
              <w:t>FastAPI 0.110+</w:t>
            </w:r>
          </w:p>
        </w:tc>
        <w:tc>
          <w:tcPr>
            <w:tcW w:type="dxa" w:w="4500"/>
          </w:tcPr>
          <w:p>
            <w:r>
              <w:rPr>
                <w:sz w:val="22"/>
              </w:rPr>
              <w:t>High-performance asynchronous Python web framework</w:t>
            </w:r>
          </w:p>
        </w:tc>
      </w:tr>
      <w:tr>
        <w:tc>
          <w:tcPr>
            <w:tcW w:type="dxa" w:w="4500"/>
          </w:tcPr>
          <w:p>
            <w:r>
              <w:rPr>
                <w:sz w:val="22"/>
              </w:rPr>
              <w:t>Uvicorn</w:t>
            </w:r>
          </w:p>
        </w:tc>
        <w:tc>
          <w:tcPr>
            <w:tcW w:type="dxa" w:w="4500"/>
          </w:tcPr>
          <w:p>
            <w:r>
              <w:rPr>
                <w:sz w:val="22"/>
              </w:rPr>
              <w:t>ASGI server for running the FastAPI application</w:t>
            </w:r>
          </w:p>
        </w:tc>
      </w:tr>
      <w:tr>
        <w:tc>
          <w:tcPr>
            <w:tcW w:type="dxa" w:w="4500"/>
          </w:tcPr>
          <w:p>
            <w:r>
              <w:rPr>
                <w:sz w:val="22"/>
              </w:rPr>
              <w:t>Pandas 2.0+</w:t>
            </w:r>
          </w:p>
        </w:tc>
        <w:tc>
          <w:tcPr>
            <w:tcW w:type="dxa" w:w="4500"/>
          </w:tcPr>
          <w:p>
            <w:r>
              <w:rPr>
                <w:sz w:val="22"/>
              </w:rPr>
              <w:t>Data manipulation and RFM feature engineering</w:t>
            </w:r>
          </w:p>
        </w:tc>
      </w:tr>
      <w:tr>
        <w:tc>
          <w:tcPr>
            <w:tcW w:type="dxa" w:w="4500"/>
          </w:tcPr>
          <w:p>
            <w:r>
              <w:rPr>
                <w:sz w:val="22"/>
              </w:rPr>
              <w:t>Scikit-learn 1.4+</w:t>
            </w:r>
          </w:p>
        </w:tc>
        <w:tc>
          <w:tcPr>
            <w:tcW w:type="dxa" w:w="4500"/>
          </w:tcPr>
          <w:p>
            <w:r>
              <w:rPr>
                <w:sz w:val="22"/>
              </w:rPr>
              <w:t>K-Means clustering and Min-Max scaling</w:t>
            </w:r>
          </w:p>
        </w:tc>
      </w:tr>
      <w:tr>
        <w:tc>
          <w:tcPr>
            <w:tcW w:type="dxa" w:w="4500"/>
          </w:tcPr>
          <w:p>
            <w:r>
              <w:rPr>
                <w:sz w:val="22"/>
              </w:rPr>
              <w:t>PyArrow / Parquet</w:t>
            </w:r>
          </w:p>
        </w:tc>
        <w:tc>
          <w:tcPr>
            <w:tcW w:type="dxa" w:w="4500"/>
          </w:tcPr>
          <w:p>
            <w:r>
              <w:rPr>
                <w:sz w:val="22"/>
              </w:rPr>
              <w:t>Columnar data storage for efficient S3 data retrieval</w:t>
            </w:r>
          </w:p>
        </w:tc>
      </w:tr>
      <w:tr>
        <w:tc>
          <w:tcPr>
            <w:tcW w:type="dxa" w:w="4500"/>
          </w:tcPr>
          <w:p>
            <w:r>
              <w:rPr>
                <w:sz w:val="22"/>
              </w:rPr>
              <w:t>Boto3</w:t>
            </w:r>
          </w:p>
        </w:tc>
        <w:tc>
          <w:tcPr>
            <w:tcW w:type="dxa" w:w="4500"/>
          </w:tcPr>
          <w:p>
            <w:r>
              <w:rPr>
                <w:sz w:val="22"/>
              </w:rPr>
              <w:t>AWS SDK for Python, used for S3 file access</w:t>
            </w:r>
          </w:p>
        </w:tc>
      </w:tr>
      <w:tr>
        <w:tc>
          <w:tcPr>
            <w:tcW w:type="dxa" w:w="4500"/>
          </w:tcPr>
          <w:p>
            <w:r>
              <w:rPr>
                <w:sz w:val="22"/>
              </w:rPr>
              <w:t>Node.js 20+ / npm</w:t>
            </w:r>
          </w:p>
        </w:tc>
        <w:tc>
          <w:tcPr>
            <w:tcW w:type="dxa" w:w="4500"/>
          </w:tcPr>
          <w:p>
            <w:r>
              <w:rPr>
                <w:sz w:val="22"/>
              </w:rPr>
              <w:t>Runtime environment and package manager for Next.js</w:t>
            </w:r>
          </w:p>
        </w:tc>
      </w:tr>
      <w:tr>
        <w:tc>
          <w:tcPr>
            <w:tcW w:type="dxa" w:w="4500"/>
          </w:tcPr>
          <w:p>
            <w:r>
              <w:rPr>
                <w:sz w:val="22"/>
              </w:rPr>
              <w:t>Next.js 14+</w:t>
            </w:r>
          </w:p>
        </w:tc>
        <w:tc>
          <w:tcPr>
            <w:tcW w:type="dxa" w:w="4500"/>
          </w:tcPr>
          <w:p>
            <w:r>
              <w:rPr>
                <w:sz w:val="22"/>
              </w:rPr>
              <w:t>React framework with App Router for the frontend dashboard</w:t>
            </w:r>
          </w:p>
        </w:tc>
      </w:tr>
      <w:tr>
        <w:tc>
          <w:tcPr>
            <w:tcW w:type="dxa" w:w="4500"/>
          </w:tcPr>
          <w:p>
            <w:r>
              <w:rPr>
                <w:sz w:val="22"/>
              </w:rPr>
              <w:t>TailwindCSS 3+</w:t>
            </w:r>
          </w:p>
        </w:tc>
        <w:tc>
          <w:tcPr>
            <w:tcW w:type="dxa" w:w="4500"/>
          </w:tcPr>
          <w:p>
            <w:r>
              <w:rPr>
                <w:sz w:val="22"/>
              </w:rPr>
              <w:t>Utility-first CSS framework for dashboard styling</w:t>
            </w:r>
          </w:p>
        </w:tc>
      </w:tr>
      <w:tr>
        <w:tc>
          <w:tcPr>
            <w:tcW w:type="dxa" w:w="4500"/>
          </w:tcPr>
          <w:p>
            <w:r>
              <w:rPr>
                <w:sz w:val="22"/>
              </w:rPr>
              <w:t>Recharts</w:t>
            </w:r>
          </w:p>
        </w:tc>
        <w:tc>
          <w:tcPr>
            <w:tcW w:type="dxa" w:w="4500"/>
          </w:tcPr>
          <w:p>
            <w:r>
              <w:rPr>
                <w:sz w:val="22"/>
              </w:rPr>
              <w:t>React charting library for visualization components</w:t>
            </w:r>
          </w:p>
        </w:tc>
      </w:tr>
      <w:tr>
        <w:tc>
          <w:tcPr>
            <w:tcW w:type="dxa" w:w="4500"/>
          </w:tcPr>
          <w:p>
            <w:r>
              <w:rPr>
                <w:sz w:val="22"/>
              </w:rPr>
              <w:t>Terraform</w:t>
            </w:r>
          </w:p>
        </w:tc>
        <w:tc>
          <w:tcPr>
            <w:tcW w:type="dxa" w:w="4500"/>
          </w:tcPr>
          <w:p>
            <w:r>
              <w:rPr>
                <w:sz w:val="22"/>
              </w:rPr>
              <w:t>Infrastructure-as-Code tool for AWS resource provisioning</w:t>
            </w:r>
          </w:p>
        </w:tc>
      </w:tr>
      <w:tr>
        <w:tc>
          <w:tcPr>
            <w:tcW w:type="dxa" w:w="4500"/>
          </w:tcPr>
          <w:p>
            <w:r>
              <w:rPr>
                <w:sz w:val="22"/>
              </w:rPr>
              <w:t>Git / GitHub</w:t>
            </w:r>
          </w:p>
        </w:tc>
        <w:tc>
          <w:tcPr>
            <w:tcW w:type="dxa" w:w="4500"/>
          </w:tcPr>
          <w:p>
            <w:r>
              <w:rPr>
                <w:sz w:val="22"/>
              </w:rPr>
              <w:t>Version control and remote repository management</w:t>
            </w:r>
          </w:p>
        </w:tc>
      </w:tr>
    </w:tbl>
    <w:p/>
    <w:p>
      <w:pPr>
        <w:pStyle w:val="Heading2"/>
        <w:jc w:val="left"/>
      </w:pPr>
      <w:r>
        <w:rPr>
          <w:color w:val="000000"/>
        </w:rPr>
        <w:t>4.2 Hardware Requirements</w:t>
      </w:r>
    </w:p>
    <w:tbl>
      <w:tblPr>
        <w:tblW w:type="auto" w:w="0"/>
        <w:tblLook w:firstColumn="1" w:firstRow="1" w:lastColumn="0" w:lastRow="0" w:noHBand="0" w:noVBand="1" w:val="04A0"/>
      </w:tblPr>
      <w:tblGrid>
        <w:gridCol w:w="4500"/>
        <w:gridCol w:w="4500"/>
      </w:tblGrid>
    </w:tbl>
    <w:tbl>
      <w:tblPr>
        <w:tblStyle w:val="TableGrid"/>
        <w:tblW w:type="auto" w:w="0"/>
        <w:tblLook w:firstColumn="1" w:firstRow="1" w:lastColumn="0" w:lastRow="0" w:noHBand="0" w:noVBand="1" w:val="04A0"/>
      </w:tblPr>
      <w:tblGrid>
        <w:gridCol w:w="4500"/>
        <w:gridCol w:w="4500"/>
      </w:tblGrid>
      <w:tr>
        <w:tc>
          <w:tcPr>
            <w:tcW w:type="dxa" w:w="4500"/>
          </w:tcPr>
          <w:p>
            <w:r>
              <w:rPr>
                <w:b/>
              </w:rPr>
              <w:t>Processor</w:t>
            </w:r>
          </w:p>
        </w:tc>
        <w:tc>
          <w:tcPr>
            <w:tcW w:type="dxa" w:w="4500"/>
          </w:tcPr>
          <w:p>
            <w:r>
              <w:t>Intel Core i5 (8th Gen) or higher</w:t>
            </w:r>
          </w:p>
        </w:tc>
      </w:tr>
      <w:tr>
        <w:tc>
          <w:tcPr>
            <w:tcW w:type="dxa" w:w="4500"/>
          </w:tcPr>
          <w:p>
            <w:r>
              <w:rPr>
                <w:b/>
              </w:rPr>
              <w:t>RAM</w:t>
            </w:r>
          </w:p>
        </w:tc>
        <w:tc>
          <w:tcPr>
            <w:tcW w:type="dxa" w:w="4500"/>
          </w:tcPr>
          <w:p>
            <w:r>
              <w:t>Minimum 8 GB (16 GB recommended for model training)</w:t>
            </w:r>
          </w:p>
        </w:tc>
      </w:tr>
      <w:tr>
        <w:tc>
          <w:tcPr>
            <w:tcW w:type="dxa" w:w="4500"/>
          </w:tcPr>
          <w:p>
            <w:r>
              <w:rPr>
                <w:b/>
              </w:rPr>
              <w:t>Storage</w:t>
            </w:r>
          </w:p>
        </w:tc>
        <w:tc>
          <w:tcPr>
            <w:tcW w:type="dxa" w:w="4500"/>
          </w:tcPr>
          <w:p>
            <w:r>
              <w:t>Minimum 50 GB free disk space</w:t>
            </w:r>
          </w:p>
        </w:tc>
      </w:tr>
      <w:tr>
        <w:tc>
          <w:tcPr>
            <w:tcW w:type="dxa" w:w="4500"/>
          </w:tcPr>
          <w:p>
            <w:r>
              <w:rPr>
                <w:b/>
              </w:rPr>
              <w:t>GPU (Optional)</w:t>
            </w:r>
          </w:p>
        </w:tc>
        <w:tc>
          <w:tcPr>
            <w:tcW w:type="dxa" w:w="4500"/>
          </w:tcPr>
          <w:p>
            <w:r>
              <w:t>NVIDIA GPU with CUDA support for accelerated training</w:t>
            </w:r>
          </w:p>
        </w:tc>
      </w:tr>
      <w:tr>
        <w:tc>
          <w:tcPr>
            <w:tcW w:type="dxa" w:w="4500"/>
          </w:tcPr>
          <w:p>
            <w:r>
              <w:rPr>
                <w:b/>
              </w:rPr>
              <w:t>Internet Connection</w:t>
            </w:r>
          </w:p>
        </w:tc>
        <w:tc>
          <w:tcPr>
            <w:tcW w:type="dxa" w:w="4500"/>
          </w:tcPr>
          <w:p>
            <w:r>
              <w:t>Required for AWS S3 access and npm package installation</w:t>
            </w:r>
          </w:p>
        </w:tc>
      </w:tr>
      <w:tr>
        <w:tc>
          <w:tcPr>
            <w:tcW w:type="dxa" w:w="4500"/>
          </w:tcPr>
          <w:p>
            <w:r>
              <w:rPr>
                <w:b/>
              </w:rPr>
              <w:t>AWS EC2 Instance</w:t>
            </w:r>
          </w:p>
        </w:tc>
        <w:tc>
          <w:tcPr>
            <w:tcW w:type="dxa" w:w="4500"/>
          </w:tcPr>
          <w:p>
            <w:r>
              <w:t>t2.micro (1 vCPU, 1 GB RAM) for backend deployment</w:t>
            </w:r>
          </w:p>
        </w:tc>
      </w:tr>
      <w:tr>
        <w:tc>
          <w:tcPr>
            <w:tcW w:type="dxa" w:w="4500"/>
          </w:tcPr>
          <w:p>
            <w:r>
              <w:rPr>
                <w:b/>
              </w:rPr>
              <w:t>AWS S3 Bucket</w:t>
            </w:r>
          </w:p>
        </w:tc>
        <w:tc>
          <w:tcPr>
            <w:tcW w:type="dxa" w:w="4500"/>
          </w:tcPr>
          <w:p>
            <w:r>
              <w:t>Standard storage for model artifacts and Parquet data files</w:t>
            </w:r>
          </w:p>
        </w:tc>
      </w:tr>
    </w:tbl>
    <w:p/>
    <w:p>
      <w:pPr>
        <w:pStyle w:val="Heading2"/>
        <w:jc w:val="left"/>
      </w:pPr>
      <w:r>
        <w:rPr>
          <w:color w:val="000000"/>
        </w:rPr>
        <w:t>4.3 Project Prerequisites</w:t>
      </w:r>
    </w:p>
    <w:p>
      <w:pPr>
        <w:pStyle w:val="ListBullet"/>
        <w:spacing w:line="360" w:lineRule="auto"/>
        <w:jc w:val="both"/>
      </w:pPr>
      <w:r>
        <w:rPr>
          <w:rFonts w:ascii="Times New Roman" w:hAnsi="Times New Roman"/>
          <w:sz w:val="24"/>
        </w:rPr>
        <w:t>Python virtual environment activated with all backend dependencies installed via pip (requirements.txt provided).</w:t>
      </w:r>
    </w:p>
    <w:p>
      <w:pPr>
        <w:pStyle w:val="ListBullet"/>
        <w:spacing w:line="360" w:lineRule="auto"/>
        <w:jc w:val="both"/>
      </w:pPr>
      <w:r>
        <w:rPr>
          <w:rFonts w:ascii="Times New Roman" w:hAnsi="Times New Roman"/>
          <w:sz w:val="24"/>
        </w:rPr>
        <w:t>Node.js installed with all frontend dependencies installed via npm install in the /frontend directory.</w:t>
      </w:r>
    </w:p>
    <w:p>
      <w:pPr>
        <w:pStyle w:val="ListBullet"/>
        <w:spacing w:line="360" w:lineRule="auto"/>
        <w:jc w:val="both"/>
      </w:pPr>
      <w:r>
        <w:rPr>
          <w:rFonts w:ascii="Times New Roman" w:hAnsi="Times New Roman"/>
          <w:sz w:val="24"/>
        </w:rPr>
        <w:t>AWS account configured with appropriate IAM roles granting EC2 read access to the designated S3 bucket.</w:t>
      </w:r>
    </w:p>
    <w:p>
      <w:pPr>
        <w:pStyle w:val="ListBullet"/>
        <w:spacing w:line="360" w:lineRule="auto"/>
        <w:jc w:val="both"/>
      </w:pPr>
      <w:r>
        <w:rPr>
          <w:rFonts w:ascii="Times New Roman" w:hAnsi="Times New Roman"/>
          <w:sz w:val="24"/>
        </w:rPr>
        <w:t>Trained model artifacts (mtl_model.pth, ncf_model.pth, kmeans_model.pkl, scaler.pkl) uploaded to the S3 bucket prior to backend startup.</w:t>
      </w:r>
    </w:p>
    <w:p>
      <w:pPr>
        <w:pStyle w:val="ListBullet"/>
        <w:spacing w:line="360" w:lineRule="auto"/>
        <w:jc w:val="both"/>
      </w:pPr>
      <w:r>
        <w:rPr>
          <w:rFonts w:ascii="Times New Roman" w:hAnsi="Times New Roman"/>
          <w:sz w:val="24"/>
        </w:rPr>
        <w:t>Environment variables AWS_ACCESS_KEY_ID, AWS_SECRET_ACCESS_KEY, AWS_DEFAULT_REGION, and S3_BUCKET_NAME set in the deployment environment.</w:t>
      </w:r>
    </w:p>
    <w:p>
      <w:pPr>
        <w:pStyle w:val="Heading2"/>
        <w:jc w:val="left"/>
      </w:pPr>
      <w:r>
        <w:rPr>
          <w:color w:val="000000"/>
        </w:rPr>
        <w:t>4.4 Functional Requirements</w:t>
      </w:r>
    </w:p>
    <w:p>
      <w:pPr>
        <w:pStyle w:val="ListBullet"/>
        <w:spacing w:line="360" w:lineRule="auto"/>
        <w:jc w:val="both"/>
      </w:pPr>
      <w:r>
        <w:rPr>
          <w:rFonts w:ascii="Times New Roman" w:hAnsi="Times New Roman"/>
          <w:sz w:val="24"/>
        </w:rPr>
        <w:t>FR1: Accept Customer ID input and return CLV prediction, Churn probability, and product recommendations within 200ms.</w:t>
      </w:r>
    </w:p>
    <w:p>
      <w:pPr>
        <w:pStyle w:val="ListBullet"/>
        <w:spacing w:line="360" w:lineRule="auto"/>
        <w:jc w:val="both"/>
      </w:pPr>
      <w:r>
        <w:rPr>
          <w:rFonts w:ascii="Times New Roman" w:hAnsi="Times New Roman"/>
          <w:sz w:val="24"/>
        </w:rPr>
        <w:t>FR2: Process batch CSV uploads of up to 500 customer IDs and return a scored results file.</w:t>
      </w:r>
    </w:p>
    <w:p>
      <w:pPr>
        <w:pStyle w:val="ListBullet"/>
        <w:spacing w:line="360" w:lineRule="auto"/>
        <w:jc w:val="both"/>
      </w:pPr>
      <w:r>
        <w:rPr>
          <w:rFonts w:ascii="Times New Roman" w:hAnsi="Times New Roman"/>
          <w:sz w:val="24"/>
        </w:rPr>
        <w:t>FR3: Display at-risk customers table filtered by churn probability threshold of 60 percent.</w:t>
      </w:r>
    </w:p>
    <w:p>
      <w:pPr>
        <w:pStyle w:val="ListBullet"/>
        <w:spacing w:line="360" w:lineRule="auto"/>
        <w:jc w:val="both"/>
      </w:pPr>
      <w:r>
        <w:rPr>
          <w:rFonts w:ascii="Times New Roman" w:hAnsi="Times New Roman"/>
          <w:sz w:val="24"/>
        </w:rPr>
        <w:t>FR4: Generate personalized win-back email drafts for any selected at-risk customer.</w:t>
      </w:r>
    </w:p>
    <w:p>
      <w:pPr>
        <w:pStyle w:val="ListBullet"/>
        <w:spacing w:line="360" w:lineRule="auto"/>
        <w:jc w:val="both"/>
      </w:pPr>
      <w:r>
        <w:rPr>
          <w:rFonts w:ascii="Times New Roman" w:hAnsi="Times New Roman"/>
          <w:sz w:val="24"/>
        </w:rPr>
        <w:t>FR5: Provide What-If simulator with real-time prediction updates on RFM slider adjustment.</w:t>
      </w:r>
    </w:p>
    <w:p>
      <w:pPr>
        <w:pStyle w:val="ListBullet"/>
        <w:spacing w:line="360" w:lineRule="auto"/>
        <w:jc w:val="both"/>
      </w:pPr>
      <w:r>
        <w:rPr>
          <w:rFonts w:ascii="Times New Roman" w:hAnsi="Times New Roman"/>
          <w:sz w:val="24"/>
        </w:rPr>
        <w:t>FR6: Display SHAP feature attribution breakdown for each prediction.</w:t>
      </w:r>
    </w:p>
    <w:p>
      <w:pPr>
        <w:pStyle w:val="Heading2"/>
        <w:jc w:val="left"/>
      </w:pPr>
      <w:r>
        <w:rPr>
          <w:color w:val="000000"/>
        </w:rPr>
        <w:t>4.5 Non-Functional Requirements</w:t>
      </w:r>
    </w:p>
    <w:p>
      <w:pPr>
        <w:pStyle w:val="ListBullet"/>
        <w:spacing w:line="360" w:lineRule="auto"/>
        <w:jc w:val="both"/>
      </w:pPr>
      <w:r>
        <w:rPr>
          <w:rFonts w:ascii="Times New Roman" w:hAnsi="Times New Roman"/>
          <w:sz w:val="24"/>
        </w:rPr>
        <w:t>NFR1: System response time for individual predictions shall not exceed 200ms.</w:t>
      </w:r>
    </w:p>
    <w:p>
      <w:pPr>
        <w:pStyle w:val="ListBullet"/>
        <w:spacing w:line="360" w:lineRule="auto"/>
        <w:jc w:val="both"/>
      </w:pPr>
      <w:r>
        <w:rPr>
          <w:rFonts w:ascii="Times New Roman" w:hAnsi="Times New Roman"/>
          <w:sz w:val="24"/>
        </w:rPr>
        <w:t>NFR2: The system shall be deployable as independent microservices on cloud infrastructure.</w:t>
      </w:r>
    </w:p>
    <w:p>
      <w:pPr>
        <w:pStyle w:val="ListBullet"/>
        <w:spacing w:line="360" w:lineRule="auto"/>
        <w:jc w:val="both"/>
      </w:pPr>
      <w:r>
        <w:rPr>
          <w:rFonts w:ascii="Times New Roman" w:hAnsi="Times New Roman"/>
          <w:sz w:val="24"/>
        </w:rPr>
        <w:t>NFR3: Frontend shall render correctly on all modern browsers (Chrome, Firefox, Edge, Safari).</w:t>
      </w:r>
    </w:p>
    <w:p>
      <w:pPr>
        <w:pStyle w:val="ListBullet"/>
        <w:spacing w:line="360" w:lineRule="auto"/>
        <w:jc w:val="both"/>
      </w:pPr>
      <w:r>
        <w:rPr>
          <w:rFonts w:ascii="Times New Roman" w:hAnsi="Times New Roman"/>
          <w:sz w:val="24"/>
        </w:rPr>
        <w:t>NFR4: All API endpoints shall implement input validation using Pydantic schemas.</w:t>
      </w:r>
    </w:p>
    <w:p>
      <w:pPr>
        <w:pStyle w:val="Heading2"/>
        <w:jc w:val="left"/>
      </w:pPr>
      <w:r>
        <w:rPr>
          <w:color w:val="000000"/>
        </w:rPr>
        <w:t>4.6 Implementation Challenges Faced</w:t>
      </w:r>
    </w:p>
    <w:p>
      <w:pPr>
        <w:pStyle w:val="ListBullet"/>
        <w:spacing w:line="360" w:lineRule="auto"/>
        <w:jc w:val="both"/>
      </w:pPr>
      <w:r>
        <w:rPr>
          <w:rFonts w:ascii="Times New Roman" w:hAnsi="Times New Roman"/>
          <w:sz w:val="24"/>
        </w:rPr>
        <w:t>Synchronous Startup Blocking: The FastAPI application downloads model artifacts from S3 and runs K-Means segment labeling synchronously at startup, increasing cold start time. This was mitigated by increasing the EC2 instance's memory allocation.</w:t>
      </w:r>
    </w:p>
    <w:p>
      <w:pPr>
        <w:pStyle w:val="ListBullet"/>
        <w:spacing w:line="360" w:lineRule="auto"/>
        <w:jc w:val="both"/>
      </w:pPr>
      <w:r>
        <w:rPr>
          <w:rFonts w:ascii="Times New Roman" w:hAnsi="Times New Roman"/>
          <w:sz w:val="24"/>
        </w:rPr>
        <w:t>SHAP Scalability: Exact Shapley value computation has O(2^n) complexity. For 3 RFM features this required 8 model evaluations per request, which was acceptable but limits future feature expansion.</w:t>
      </w:r>
    </w:p>
    <w:p>
      <w:pPr>
        <w:pStyle w:val="ListBullet"/>
        <w:spacing w:line="360" w:lineRule="auto"/>
        <w:jc w:val="both"/>
      </w:pPr>
      <w:r>
        <w:rPr>
          <w:rFonts w:ascii="Times New Roman" w:hAnsi="Times New Roman"/>
          <w:sz w:val="24"/>
        </w:rPr>
        <w:t>NCF Cold Start for New Customers: The NCF model cannot generate recommendations for customer IDs not seen during training. A fallback to globally popular items was implemented for unrecognized IDs.</w:t>
      </w:r>
    </w:p>
    <w:p>
      <w:pPr>
        <w:pStyle w:val="ListBullet"/>
        <w:spacing w:line="360" w:lineRule="auto"/>
        <w:jc w:val="both"/>
      </w:pPr>
      <w:r>
        <w:rPr>
          <w:rFonts w:ascii="Times New Roman" w:hAnsi="Times New Roman"/>
          <w:sz w:val="24"/>
        </w:rPr>
        <w:t>CORS Configuration: Coordinating CORS headers between the EC2 backend and the S3-hosted frontend required careful configuration to allow cross-origin requests from the specific S3 website endpoint.</w:t>
      </w:r>
    </w:p>
    <w:p>
      <w:r>
        <w:br w:type="page"/>
      </w:r>
    </w:p>
    <w:p>
      <w:pPr>
        <w:pStyle w:val="Heading1"/>
        <w:jc w:val="left"/>
      </w:pPr>
      <w:r>
        <w:rPr>
          <w:color w:val="000000"/>
        </w:rPr>
        <w:t>CHAPTER 5: SYSTEM DESIGN</w:t>
      </w:r>
    </w:p>
    <w:p>
      <w:pPr>
        <w:pStyle w:val="Heading2"/>
        <w:jc w:val="left"/>
      </w:pPr>
      <w:r>
        <w:rPr>
          <w:color w:val="000000"/>
        </w:rPr>
        <w:t>5.1 Introduction</w:t>
      </w:r>
    </w:p>
    <w:p>
      <w:pPr>
        <w:jc w:val="both"/>
      </w:pPr>
      <w:r>
        <w:rPr>
          <w:rFonts w:ascii="Times New Roman" w:hAnsi="Times New Roman"/>
          <w:b w:val="0"/>
          <w:sz w:val="24"/>
        </w:rPr>
        <w:t>System design translates the requirements identified in the previous chapter into a concrete technical blueprint for the Zenthiqa platform. This chapter details the high-level system model, the layered architecture, the data flow between components, and the formal UML diagrams that describe the system's structural and behavioral properties. The design follows established software engineering principles including separation of concerns, single responsibility, and interface-based decoupling.</w:t>
      </w:r>
    </w:p>
    <w:p>
      <w:pPr>
        <w:pStyle w:val="Heading2"/>
        <w:jc w:val="left"/>
      </w:pPr>
      <w:r>
        <w:rPr>
          <w:color w:val="000000"/>
        </w:rPr>
        <w:t>5.2 System Model</w:t>
      </w:r>
    </w:p>
    <w:p>
      <w:pPr>
        <w:pStyle w:val="Heading3"/>
        <w:jc w:val="left"/>
      </w:pPr>
      <w:r>
        <w:rPr>
          <w:color w:val="000000"/>
        </w:rPr>
        <w:t>5.2.1 Components of the System Model</w:t>
      </w:r>
    </w:p>
    <w:p>
      <w:pPr>
        <w:jc w:val="both"/>
      </w:pPr>
      <w:r>
        <w:rPr>
          <w:rFonts w:ascii="Times New Roman" w:hAnsi="Times New Roman"/>
          <w:b w:val="0"/>
          <w:sz w:val="24"/>
        </w:rPr>
        <w:t>The Zenthiqa system model consists of three primary components that interact in a well-defined manner: the Presentation Component (Next.js Frontend), the Business Logic and Inference Component (FastAPI Backend), and the Storage Component (AWS S3). Each component operates independently and communicates with adjacent components through well-defined interfaces.</w:t>
      </w:r>
    </w:p>
    <w:p>
      <w:pPr>
        <w:pStyle w:val="Heading3"/>
        <w:jc w:val="left"/>
      </w:pPr>
      <w:r>
        <w:rPr>
          <w:color w:val="000000"/>
        </w:rPr>
        <w:t>5.2.2 Features of the System Model</w:t>
      </w:r>
    </w:p>
    <w:p>
      <w:pPr>
        <w:pStyle w:val="ListBullet"/>
        <w:spacing w:line="360" w:lineRule="auto"/>
        <w:jc w:val="both"/>
      </w:pPr>
      <w:r>
        <w:rPr>
          <w:rFonts w:ascii="Times New Roman" w:hAnsi="Times New Roman"/>
          <w:sz w:val="24"/>
        </w:rPr>
        <w:t>Decoupled Architecture: Frontend and backend are deployed independently, allowing updates to either without redeploying the other.</w:t>
      </w:r>
    </w:p>
    <w:p>
      <w:pPr>
        <w:pStyle w:val="ListBullet"/>
        <w:spacing w:line="360" w:lineRule="auto"/>
        <w:jc w:val="both"/>
      </w:pPr>
      <w:r>
        <w:rPr>
          <w:rFonts w:ascii="Times New Roman" w:hAnsi="Times New Roman"/>
          <w:sz w:val="24"/>
        </w:rPr>
        <w:t>Stateless API: All FastAPI endpoints are stateless, returning complete responses without relying on server-side session state.</w:t>
      </w:r>
    </w:p>
    <w:p>
      <w:pPr>
        <w:pStyle w:val="ListBullet"/>
        <w:spacing w:line="360" w:lineRule="auto"/>
        <w:jc w:val="both"/>
      </w:pPr>
      <w:r>
        <w:rPr>
          <w:rFonts w:ascii="Times New Roman" w:hAnsi="Times New Roman"/>
          <w:sz w:val="24"/>
        </w:rPr>
        <w:t>In-Memory Inference: All model artifacts are loaded into memory at startup, ensuring sub-second response times for inference requests.</w:t>
      </w:r>
    </w:p>
    <w:p>
      <w:pPr>
        <w:pStyle w:val="ListBullet"/>
        <w:spacing w:line="360" w:lineRule="auto"/>
        <w:jc w:val="both"/>
      </w:pPr>
      <w:r>
        <w:rPr>
          <w:rFonts w:ascii="Times New Roman" w:hAnsi="Times New Roman"/>
          <w:sz w:val="24"/>
        </w:rPr>
        <w:t>Cloud-Native Storage: Model artifacts and data are stored on AWS S3, providing high durability and availability independent of the EC2 instance lifecycle.</w:t>
      </w:r>
    </w:p>
    <w:p>
      <w:pPr>
        <w:pStyle w:val="Heading3"/>
        <w:jc w:val="left"/>
      </w:pPr>
      <w:r>
        <w:rPr>
          <w:color w:val="000000"/>
        </w:rPr>
        <w:t>5.2.3 Advantages of the System Model</w:t>
      </w:r>
    </w:p>
    <w:p>
      <w:pPr>
        <w:pStyle w:val="ListBullet"/>
        <w:spacing w:line="360" w:lineRule="auto"/>
        <w:jc w:val="both"/>
      </w:pPr>
      <w:r>
        <w:rPr>
          <w:rFonts w:ascii="Times New Roman" w:hAnsi="Times New Roman"/>
          <w:sz w:val="24"/>
        </w:rPr>
        <w:t>Independent Scalability: The frontend (S3 static website) scales automatically via AWS CDN, while the backend can be scaled horizontally by deploying multiple EC2 instances behind a load balancer.</w:t>
      </w:r>
    </w:p>
    <w:p>
      <w:pPr>
        <w:pStyle w:val="ListBullet"/>
        <w:spacing w:line="360" w:lineRule="auto"/>
        <w:jc w:val="both"/>
      </w:pPr>
      <w:r>
        <w:rPr>
          <w:rFonts w:ascii="Times New Roman" w:hAnsi="Times New Roman"/>
          <w:sz w:val="24"/>
        </w:rPr>
        <w:t>Technology Flexibility: The clean API boundary between frontend and backend means either layer can be replaced with a different technology without affecting the other.</w:t>
      </w:r>
    </w:p>
    <w:p>
      <w:pPr>
        <w:pStyle w:val="ListBullet"/>
        <w:spacing w:line="360" w:lineRule="auto"/>
        <w:jc w:val="both"/>
      </w:pPr>
      <w:r>
        <w:rPr>
          <w:rFonts w:ascii="Times New Roman" w:hAnsi="Times New Roman"/>
          <w:sz w:val="24"/>
        </w:rPr>
        <w:t>Cost Efficiency: Serving the frontend from S3 eliminates the need for a dedicated web server, significantly reducing hosting costs.</w:t>
      </w:r>
    </w:p>
    <w:p>
      <w:pPr>
        <w:pStyle w:val="Heading2"/>
        <w:jc w:val="left"/>
      </w:pPr>
      <w:r>
        <w:rPr>
          <w:color w:val="000000"/>
        </w:rPr>
        <w:t>5.3 System Architecture</w:t>
      </w:r>
    </w:p>
    <w:p>
      <w:pPr>
        <w:pStyle w:val="Heading3"/>
        <w:jc w:val="left"/>
      </w:pPr>
      <w:r>
        <w:rPr>
          <w:color w:val="000000"/>
        </w:rPr>
        <w:t>5.3.1 User Interface Layer</w:t>
      </w:r>
    </w:p>
    <w:p>
      <w:pPr>
        <w:jc w:val="both"/>
      </w:pPr>
      <w:r>
        <w:rPr>
          <w:rFonts w:ascii="Times New Roman" w:hAnsi="Times New Roman"/>
          <w:b w:val="0"/>
          <w:sz w:val="24"/>
        </w:rPr>
        <w:t>The User Interface Layer is implemented as a statically generated Next.js application deployed on AWS S3 as a static website. It is globally accessible through any modern web browser. The application is structured using the Next.js App Router paradigm with a single-page application design that avoids full page reloads. It presents five tabbed views: Overview, Customer Insights, Products, Batch Processing, and At-Risk Customers.</w:t>
      </w:r>
    </w:p>
    <w:p>
      <w:pPr>
        <w:pStyle w:val="Heading3"/>
        <w:jc w:val="left"/>
      </w:pPr>
      <w:r>
        <w:rPr>
          <w:color w:val="000000"/>
        </w:rPr>
        <w:t>5.3.2 Application Logic Layer</w:t>
      </w:r>
    </w:p>
    <w:p>
      <w:pPr>
        <w:jc w:val="both"/>
      </w:pPr>
      <w:r>
        <w:rPr>
          <w:rFonts w:ascii="Times New Roman" w:hAnsi="Times New Roman"/>
          <w:b w:val="0"/>
          <w:sz w:val="24"/>
        </w:rPr>
        <w:t>The Application Logic Layer is a FastAPI application running inside a Python virtual environment on an AWS EC2 instance. On startup, it downloads all necessary model artifacts and Parquet data files from S3 into local memory. It performs all model inference (CLV prediction, Churn scoring, NCF recommendations, SHAP computation, K-Means classification) in-memory, ensuring sub-second API response times. It exposes RESTful endpoints over HTTP and implements CORS middleware to allow requests from the frontend origin.</w:t>
      </w:r>
    </w:p>
    <w:p>
      <w:pPr>
        <w:pStyle w:val="Heading3"/>
        <w:jc w:val="left"/>
      </w:pPr>
      <w:r>
        <w:rPr>
          <w:color w:val="000000"/>
        </w:rPr>
        <w:t>5.3.3 Database Layer</w:t>
      </w:r>
    </w:p>
    <w:p>
      <w:pPr>
        <w:jc w:val="both"/>
      </w:pPr>
      <w:r>
        <w:rPr>
          <w:rFonts w:ascii="Times New Roman" w:hAnsi="Times New Roman"/>
          <w:b w:val="0"/>
          <w:sz w:val="24"/>
        </w:rPr>
        <w:t>The Database Layer consists of AWS S3, which serves as the persistent data store for the platform. It holds the trained PyTorch model weights (.pth files), the Scikit-learn preprocessing artifacts (.pkl files for KMeans and Scaler), and the preprocessed customer data in Parquet format. S3's 11-nine durability ensures model artifacts are never lost. At runtime, the EC2 backend loads these files into memory, treating S3 as a cold storage layer rather than a live database, which avoids the latency of repeated cloud API calls during inference.</w:t>
      </w:r>
    </w:p>
    <w:p>
      <w:pPr>
        <w:pStyle w:val="Heading2"/>
        <w:jc w:val="left"/>
      </w:pPr>
      <w:r>
        <w:rPr>
          <w:color w:val="000000"/>
        </w:rPr>
        <w:t>5.4 UML Representation</w:t>
      </w:r>
    </w:p>
    <w:p>
      <w:pPr>
        <w:jc w:val="both"/>
      </w:pPr>
      <w:r>
        <w:rPr>
          <w:rFonts w:ascii="Times New Roman" w:hAnsi="Times New Roman"/>
          <w:b w:val="0"/>
          <w:sz w:val="24"/>
        </w:rPr>
        <w:t>To explain the design of the Zenthiqa system more clearly, UML (Unified Modeling Language) diagrams are used. These diagrams are not complicated; they just show how different parts of the system look and behave.</w:t>
      </w:r>
    </w:p>
    <w:p>
      <w:pPr>
        <w:pStyle w:val="Heading3"/>
        <w:jc w:val="left"/>
      </w:pPr>
      <w:r>
        <w:rPr>
          <w:color w:val="000000"/>
        </w:rPr>
        <w:t>5.4.1 Use Case Diagram</w:t>
      </w:r>
    </w:p>
    <w:p>
      <w:pPr>
        <w:jc w:val="both"/>
      </w:pPr>
      <w:r>
        <w:rPr>
          <w:rFonts w:ascii="Times New Roman" w:hAnsi="Times New Roman"/>
          <w:b w:val="0"/>
          <w:sz w:val="24"/>
        </w:rPr>
        <w:t>The Use Case Diagram identifies the primary actors interacting with the Zenthiqa system and the use cases they can initiate. The two primary actors are the Business Manager (non-technical user) and the System Administrator.</w:t>
      </w:r>
    </w:p>
    <w:p>
      <w:pPr>
        <w:spacing w:before="0" w:after="0"/>
      </w:pPr>
    </w:p>
    <w:p>
      <w:pPr>
        <w:jc w:val="both"/>
      </w:pPr>
      <w:r>
        <w:rPr>
          <w:rFonts w:ascii="Times New Roman" w:hAnsi="Times New Roman"/>
          <w:b/>
          <w:sz w:val="24"/>
        </w:rPr>
        <w:t>Actors and their Use Cases:</w:t>
      </w:r>
    </w:p>
    <w:p>
      <w:pPr>
        <w:pStyle w:val="ListBullet"/>
        <w:spacing w:line="360" w:lineRule="auto"/>
        <w:jc w:val="both"/>
      </w:pPr>
      <w:r>
        <w:rPr>
          <w:rFonts w:ascii="Times New Roman" w:hAnsi="Times New Roman"/>
          <w:sz w:val="24"/>
        </w:rPr>
        <w:t>Business Manager: Search customer by ID, view CLV and Churn predictions, run the What-If simulator, view at-risk customers, trigger batch processing, view product recommendations, and generate a win-back email.</w:t>
      </w:r>
    </w:p>
    <w:p>
      <w:pPr>
        <w:pStyle w:val="ListBullet"/>
        <w:spacing w:line="360" w:lineRule="auto"/>
        <w:jc w:val="both"/>
      </w:pPr>
      <w:r>
        <w:rPr>
          <w:rFonts w:ascii="Times New Roman" w:hAnsi="Times New Roman"/>
          <w:sz w:val="24"/>
        </w:rPr>
        <w:t>System Administrator: Update model artifacts on S3, restart the backend service, and monitor application logs on the EC2 instance.</w:t>
      </w:r>
    </w:p>
    <w:p>
      <w:pPr>
        <w:spacing w:before="0" w:after="0"/>
      </w:pPr>
    </w:p>
    <w:p>
      <w:pPr>
        <w:jc w:val="center"/>
      </w:pPr>
      <w:r>
        <w:drawing>
          <wp:inline xmlns:a="http://schemas.openxmlformats.org/drawingml/2006/main" xmlns:pic="http://schemas.openxmlformats.org/drawingml/2006/picture">
            <wp:extent cx="5303520" cy="4412172"/>
            <wp:docPr id="3" name="Picture 3"/>
            <wp:cNvGraphicFramePr>
              <a:graphicFrameLocks noChangeAspect="1"/>
            </wp:cNvGraphicFramePr>
            <a:graphic>
              <a:graphicData uri="http://schemas.openxmlformats.org/drawingml/2006/picture">
                <pic:pic>
                  <pic:nvPicPr>
                    <pic:cNvPr id="0" name="uml_use_case.jpg"/>
                    <pic:cNvPicPr/>
                  </pic:nvPicPr>
                  <pic:blipFill>
                    <a:blip r:embed="rId12"/>
                    <a:stretch>
                      <a:fillRect/>
                    </a:stretch>
                  </pic:blipFill>
                  <pic:spPr>
                    <a:xfrm>
                      <a:off x="0" y="0"/>
                      <a:ext cx="5303520" cy="4412172"/>
                    </a:xfrm>
                    <a:prstGeom prst="rect"/>
                  </pic:spPr>
                </pic:pic>
              </a:graphicData>
            </a:graphic>
          </wp:inline>
        </w:drawing>
      </w:r>
    </w:p>
    <w:p>
      <w:pPr>
        <w:jc w:val="center"/>
      </w:pPr>
      <w:r>
        <w:rPr>
          <w:rFonts w:ascii="Times New Roman" w:hAnsi="Times New Roman"/>
          <w:b/>
          <w:sz w:val="22"/>
        </w:rPr>
        <w:t>Fig 1: Use Case Diagram — Zenthiqa E-Commerce Analytics System</w:t>
      </w:r>
    </w:p>
    <w:p>
      <w:pPr>
        <w:spacing w:before="0" w:after="0"/>
      </w:pPr>
    </w:p>
    <w:p>
      <w:pPr>
        <w:pStyle w:val="Heading3"/>
        <w:jc w:val="left"/>
      </w:pPr>
      <w:r>
        <w:rPr>
          <w:color w:val="000000"/>
        </w:rPr>
        <w:t>5.4.2 Class Diagram</w:t>
      </w:r>
    </w:p>
    <w:p>
      <w:pPr>
        <w:jc w:val="both"/>
      </w:pPr>
      <w:r>
        <w:rPr>
          <w:rFonts w:ascii="Times New Roman" w:hAnsi="Times New Roman"/>
          <w:b w:val="0"/>
          <w:sz w:val="24"/>
        </w:rPr>
        <w:t>The Class Diagram depicts the primary data classes and their relationships within the Zenthiqa backend system.</w:t>
      </w:r>
    </w:p>
    <w:p>
      <w:pPr>
        <w:spacing w:before="0" w:after="0"/>
      </w:pPr>
    </w:p>
    <w:p>
      <w:pPr>
        <w:jc w:val="both"/>
      </w:pPr>
      <w:r>
        <w:rPr>
          <w:rFonts w:ascii="Times New Roman" w:hAnsi="Times New Roman"/>
          <w:b/>
          <w:sz w:val="24"/>
        </w:rPr>
        <w:t>Key Classes:</w:t>
      </w:r>
    </w:p>
    <w:p>
      <w:pPr>
        <w:pStyle w:val="ListBullet"/>
        <w:spacing w:line="360" w:lineRule="auto"/>
        <w:jc w:val="both"/>
      </w:pPr>
      <w:r>
        <w:rPr>
          <w:rFonts w:ascii="Times New Roman" w:hAnsi="Times New Roman"/>
          <w:sz w:val="24"/>
        </w:rPr>
        <w:t>CustomerRecord: Holds RFM attributes (recency: int, frequency: int, monetary: float) and segment label (segment: String), mapping to a row in the Parquet DataFrame.</w:t>
      </w:r>
    </w:p>
    <w:p>
      <w:pPr>
        <w:pStyle w:val="ListBullet"/>
        <w:spacing w:line="360" w:lineRule="auto"/>
        <w:jc w:val="both"/>
      </w:pPr>
      <w:r>
        <w:rPr>
          <w:rFonts w:ascii="Times New Roman" w:hAnsi="Times New Roman"/>
          <w:sz w:val="24"/>
        </w:rPr>
        <w:t>PredictionResponse: JSON response model containing clv: float, churn_probability: float, churn_label: String, shap_values: dict, and recommendations: list.</w:t>
      </w:r>
    </w:p>
    <w:p>
      <w:pPr>
        <w:pStyle w:val="ListBullet"/>
        <w:spacing w:line="360" w:lineRule="auto"/>
        <w:jc w:val="both"/>
      </w:pPr>
      <w:r>
        <w:rPr>
          <w:rFonts w:ascii="Times New Roman" w:hAnsi="Times New Roman"/>
          <w:sz w:val="24"/>
        </w:rPr>
        <w:t>MTLModel (nn.Module): Contains shared hidden layers, CLV head (linear), and Churn head (Sigmoid). forward() accepts RFM tensor and returns (clv_pred, churn_prob).</w:t>
      </w:r>
    </w:p>
    <w:p>
      <w:pPr>
        <w:pStyle w:val="ListBullet"/>
        <w:spacing w:line="360" w:lineRule="auto"/>
        <w:jc w:val="both"/>
      </w:pPr>
      <w:r>
        <w:rPr>
          <w:rFonts w:ascii="Times New Roman" w:hAnsi="Times New Roman"/>
          <w:sz w:val="24"/>
        </w:rPr>
        <w:t>NCFModel (nn.Module): Contains customer_embedding and item_embedding layers and three MLP layers. predict() returns a ranked list of product IDs.</w:t>
      </w:r>
    </w:p>
    <w:p>
      <w:pPr>
        <w:spacing w:before="0" w:after="0"/>
      </w:pPr>
    </w:p>
    <w:p>
      <w:pPr>
        <w:jc w:val="center"/>
      </w:pPr>
      <w:r>
        <w:drawing>
          <wp:inline xmlns:a="http://schemas.openxmlformats.org/drawingml/2006/main" xmlns:pic="http://schemas.openxmlformats.org/drawingml/2006/picture">
            <wp:extent cx="5303520" cy="3659018"/>
            <wp:docPr id="4" name="Picture 4"/>
            <wp:cNvGraphicFramePr>
              <a:graphicFrameLocks noChangeAspect="1"/>
            </wp:cNvGraphicFramePr>
            <a:graphic>
              <a:graphicData uri="http://schemas.openxmlformats.org/drawingml/2006/picture">
                <pic:pic>
                  <pic:nvPicPr>
                    <pic:cNvPr id="0" name="uml_class.jpg"/>
                    <pic:cNvPicPr/>
                  </pic:nvPicPr>
                  <pic:blipFill>
                    <a:blip r:embed="rId13"/>
                    <a:stretch>
                      <a:fillRect/>
                    </a:stretch>
                  </pic:blipFill>
                  <pic:spPr>
                    <a:xfrm>
                      <a:off x="0" y="0"/>
                      <a:ext cx="5303520" cy="3659018"/>
                    </a:xfrm>
                    <a:prstGeom prst="rect"/>
                  </pic:spPr>
                </pic:pic>
              </a:graphicData>
            </a:graphic>
          </wp:inline>
        </w:drawing>
      </w:r>
    </w:p>
    <w:p>
      <w:pPr>
        <w:jc w:val="center"/>
      </w:pPr>
      <w:r>
        <w:rPr>
          <w:rFonts w:ascii="Times New Roman" w:hAnsi="Times New Roman"/>
          <w:b/>
          <w:sz w:val="22"/>
        </w:rPr>
        <w:t>Fig 2: Class Diagram — Zenthiqa Backend Data Classes</w:t>
      </w:r>
    </w:p>
    <w:p>
      <w:pPr>
        <w:spacing w:before="0" w:after="0"/>
      </w:pPr>
    </w:p>
    <w:p>
      <w:pPr>
        <w:pStyle w:val="Heading3"/>
        <w:jc w:val="left"/>
      </w:pPr>
      <w:r>
        <w:rPr>
          <w:color w:val="000000"/>
        </w:rPr>
        <w:t>5.4.3 Sequence Diagram</w:t>
      </w:r>
    </w:p>
    <w:p>
      <w:pPr>
        <w:jc w:val="both"/>
      </w:pPr>
      <w:r>
        <w:rPr>
          <w:rFonts w:ascii="Times New Roman" w:hAnsi="Times New Roman"/>
          <w:b w:val="0"/>
          <w:sz w:val="24"/>
        </w:rPr>
        <w:t>The Sequence Diagram illustrates the chronological flow of interactions between system components for the primary use case: a business manager requesting a customer analysis.</w:t>
      </w:r>
    </w:p>
    <w:p>
      <w:pPr>
        <w:spacing w:before="0" w:after="0"/>
      </w:pPr>
    </w:p>
    <w:p>
      <w:pPr>
        <w:pStyle w:val="ListNumber"/>
        <w:spacing w:line="360" w:lineRule="auto"/>
        <w:jc w:val="both"/>
      </w:pPr>
      <w:r>
        <w:rPr>
          <w:rFonts w:ascii="Times New Roman" w:hAnsi="Times New Roman"/>
          <w:sz w:val="24"/>
        </w:rPr>
        <w:t>User enters Customer ID 14911 into the search bar and clicks Analyze.</w:t>
      </w:r>
    </w:p>
    <w:p>
      <w:pPr>
        <w:pStyle w:val="ListNumber"/>
        <w:spacing w:line="360" w:lineRule="auto"/>
        <w:jc w:val="both"/>
      </w:pPr>
      <w:r>
        <w:rPr>
          <w:rFonts w:ascii="Times New Roman" w:hAnsi="Times New Roman"/>
          <w:sz w:val="24"/>
        </w:rPr>
        <w:t>Dashboard sends HTTP GET /api/customer/14911 to the FastAPI Backend.</w:t>
      </w:r>
    </w:p>
    <w:p>
      <w:pPr>
        <w:pStyle w:val="ListNumber"/>
        <w:spacing w:line="360" w:lineRule="auto"/>
        <w:jc w:val="both"/>
      </w:pPr>
      <w:r>
        <w:rPr>
          <w:rFonts w:ascii="Times New Roman" w:hAnsi="Times New Roman"/>
          <w:sz w:val="24"/>
        </w:rPr>
        <w:t>Backend queries the in-memory RFM DataFrame to retrieve the customer's features.</w:t>
      </w:r>
    </w:p>
    <w:p>
      <w:pPr>
        <w:pStyle w:val="ListNumber"/>
        <w:spacing w:line="360" w:lineRule="auto"/>
        <w:jc w:val="both"/>
      </w:pPr>
      <w:r>
        <w:rPr>
          <w:rFonts w:ascii="Times New Roman" w:hAnsi="Times New Roman"/>
          <w:sz w:val="24"/>
        </w:rPr>
        <w:t>Backend normalizes the features and creates a PyTorch tensor.</w:t>
      </w:r>
    </w:p>
    <w:p>
      <w:pPr>
        <w:pStyle w:val="ListNumber"/>
        <w:spacing w:line="360" w:lineRule="auto"/>
        <w:jc w:val="both"/>
      </w:pPr>
      <w:r>
        <w:rPr>
          <w:rFonts w:ascii="Times New Roman" w:hAnsi="Times New Roman"/>
          <w:sz w:val="24"/>
        </w:rPr>
        <w:t>Backend calls MTLModel.forward(tensor) and receives (clv, churn_prob) outputs.</w:t>
      </w:r>
    </w:p>
    <w:p>
      <w:pPr>
        <w:pStyle w:val="ListNumber"/>
        <w:spacing w:line="360" w:lineRule="auto"/>
        <w:jc w:val="both"/>
      </w:pPr>
      <w:r>
        <w:rPr>
          <w:rFonts w:ascii="Times New Roman" w:hAnsi="Times New Roman"/>
          <w:sz w:val="24"/>
        </w:rPr>
        <w:t>Backend computes SHAP values by iterating over all 8 RFM feature subsets.</w:t>
      </w:r>
    </w:p>
    <w:p>
      <w:pPr>
        <w:pStyle w:val="ListNumber"/>
        <w:spacing w:line="360" w:lineRule="auto"/>
        <w:jc w:val="both"/>
      </w:pPr>
      <w:r>
        <w:rPr>
          <w:rFonts w:ascii="Times New Roman" w:hAnsi="Times New Roman"/>
          <w:sz w:val="24"/>
        </w:rPr>
        <w:t>Backend calls NCFModel.predict(customer_id) and receives the top-5 product IDs.</w:t>
      </w:r>
    </w:p>
    <w:p>
      <w:pPr>
        <w:pStyle w:val="ListNumber"/>
        <w:spacing w:line="360" w:lineRule="auto"/>
        <w:jc w:val="both"/>
      </w:pPr>
      <w:r>
        <w:rPr>
          <w:rFonts w:ascii="Times New Roman" w:hAnsi="Times New Roman"/>
          <w:sz w:val="24"/>
        </w:rPr>
        <w:t>Backend assembles a JSON PredictionResponse and returns HTTP 200.</w:t>
      </w:r>
    </w:p>
    <w:p>
      <w:pPr>
        <w:pStyle w:val="ListNumber"/>
        <w:spacing w:line="360" w:lineRule="auto"/>
        <w:jc w:val="both"/>
      </w:pPr>
      <w:r>
        <w:rPr>
          <w:rFonts w:ascii="Times New Roman" w:hAnsi="Times New Roman"/>
          <w:sz w:val="24"/>
        </w:rPr>
        <w:t>Dashboard renders the CLV card, Churn gauge, SHAP bar chart, and recommendations list.</w:t>
      </w:r>
    </w:p>
    <w:p>
      <w:pPr>
        <w:spacing w:before="0" w:after="0"/>
      </w:pPr>
    </w:p>
    <w:p>
      <w:pPr>
        <w:jc w:val="center"/>
      </w:pPr>
      <w:r>
        <w:drawing>
          <wp:inline xmlns:a="http://schemas.openxmlformats.org/drawingml/2006/main" xmlns:pic="http://schemas.openxmlformats.org/drawingml/2006/picture">
            <wp:extent cx="4114800" cy="3476847"/>
            <wp:docPr id="5" name="Picture 5"/>
            <wp:cNvGraphicFramePr>
              <a:graphicFrameLocks noChangeAspect="1"/>
            </wp:cNvGraphicFramePr>
            <a:graphic>
              <a:graphicData uri="http://schemas.openxmlformats.org/drawingml/2006/picture">
                <pic:pic>
                  <pic:nvPicPr>
                    <pic:cNvPr id="0" name="uml_sequence.jpg"/>
                    <pic:cNvPicPr/>
                  </pic:nvPicPr>
                  <pic:blipFill>
                    <a:blip r:embed="rId14"/>
                    <a:stretch>
                      <a:fillRect/>
                    </a:stretch>
                  </pic:blipFill>
                  <pic:spPr>
                    <a:xfrm>
                      <a:off x="0" y="0"/>
                      <a:ext cx="4114800" cy="3476847"/>
                    </a:xfrm>
                    <a:prstGeom prst="rect"/>
                  </pic:spPr>
                </pic:pic>
              </a:graphicData>
            </a:graphic>
          </wp:inline>
        </w:drawing>
      </w:r>
    </w:p>
    <w:p>
      <w:pPr>
        <w:jc w:val="center"/>
      </w:pPr>
      <w:r>
        <w:rPr>
          <w:rFonts w:ascii="Times New Roman" w:hAnsi="Times New Roman"/>
          <w:b/>
          <w:sz w:val="22"/>
        </w:rPr>
        <w:t>Fig 3: Sequence Diagram — Customer Analysis Request Flow</w:t>
      </w:r>
    </w:p>
    <w:p>
      <w:pPr>
        <w:spacing w:before="0" w:after="0"/>
      </w:pPr>
    </w:p>
    <w:p>
      <w:pPr>
        <w:pStyle w:val="Heading3"/>
        <w:jc w:val="left"/>
      </w:pPr>
      <w:r>
        <w:rPr>
          <w:color w:val="000000"/>
        </w:rPr>
        <w:t>5.4.4 Block Diagram</w:t>
      </w:r>
    </w:p>
    <w:p>
      <w:pPr>
        <w:jc w:val="both"/>
      </w:pPr>
      <w:r>
        <w:rPr>
          <w:rFonts w:ascii="Times New Roman" w:hAnsi="Times New Roman"/>
          <w:b w:val="0"/>
          <w:sz w:val="24"/>
        </w:rPr>
        <w:t>The Block Diagram provides a high-level structural overview of the Zenthiqa system, showing how the major functional blocks connect to each other.</w:t>
      </w:r>
    </w:p>
    <w:p>
      <w:pPr>
        <w:spacing w:before="0" w:after="0"/>
      </w:pPr>
    </w:p>
    <w:p>
      <w:pPr>
        <w:pStyle w:val="ListBullet"/>
        <w:spacing w:line="360" w:lineRule="auto"/>
        <w:jc w:val="both"/>
      </w:pPr>
      <w:r>
        <w:rPr>
          <w:rFonts w:ascii="Times New Roman" w:hAnsi="Times New Roman"/>
          <w:sz w:val="24"/>
        </w:rPr>
        <w:t>Data Block: Reads the raw Online Retail CSV, performs RFM feature engineering, and outputs normalized features to the Training Block and Storage Block.</w:t>
      </w:r>
    </w:p>
    <w:p>
      <w:pPr>
        <w:pStyle w:val="ListBullet"/>
        <w:spacing w:line="360" w:lineRule="auto"/>
        <w:jc w:val="both"/>
      </w:pPr>
      <w:r>
        <w:rPr>
          <w:rFonts w:ascii="Times New Roman" w:hAnsi="Times New Roman"/>
          <w:sz w:val="24"/>
        </w:rPr>
        <w:t>Training Block: Contains the MTL Model Trainer and NCF Model Trainer, which consume normalized features and output trained model weights to S3.</w:t>
      </w:r>
    </w:p>
    <w:p>
      <w:pPr>
        <w:pStyle w:val="ListBullet"/>
        <w:spacing w:line="360" w:lineRule="auto"/>
        <w:jc w:val="both"/>
      </w:pPr>
      <w:r>
        <w:rPr>
          <w:rFonts w:ascii="Times New Roman" w:hAnsi="Times New Roman"/>
          <w:sz w:val="24"/>
        </w:rPr>
        <w:t>Inference Block: The FastAPI Backend loads model weights and data from S3 at startup, performs inference, and returns predictions to the Presentation Block.</w:t>
      </w:r>
    </w:p>
    <w:p>
      <w:pPr>
        <w:pStyle w:val="ListBullet"/>
        <w:spacing w:line="360" w:lineRule="auto"/>
        <w:jc w:val="both"/>
      </w:pPr>
      <w:r>
        <w:rPr>
          <w:rFonts w:ascii="Times New Roman" w:hAnsi="Times New Roman"/>
          <w:sz w:val="24"/>
        </w:rPr>
        <w:t>Presentation Block: The Next.js Frontend receives predictions and renders them as an interactive dashboard.</w:t>
      </w:r>
    </w:p>
    <w:p>
      <w:pPr>
        <w:spacing w:before="0" w:after="0"/>
      </w:pPr>
    </w:p>
    <w:p>
      <w:pPr>
        <w:jc w:val="center"/>
      </w:pPr>
      <w:r>
        <w:drawing>
          <wp:inline xmlns:a="http://schemas.openxmlformats.org/drawingml/2006/main" xmlns:pic="http://schemas.openxmlformats.org/drawingml/2006/picture">
            <wp:extent cx="5303520" cy="4070143"/>
            <wp:docPr id="6" name="Picture 6"/>
            <wp:cNvGraphicFramePr>
              <a:graphicFrameLocks noChangeAspect="1"/>
            </wp:cNvGraphicFramePr>
            <a:graphic>
              <a:graphicData uri="http://schemas.openxmlformats.org/drawingml/2006/picture">
                <pic:pic>
                  <pic:nvPicPr>
                    <pic:cNvPr id="0" name="uml_block.jpg"/>
                    <pic:cNvPicPr/>
                  </pic:nvPicPr>
                  <pic:blipFill>
                    <a:blip r:embed="rId15"/>
                    <a:stretch>
                      <a:fillRect/>
                    </a:stretch>
                  </pic:blipFill>
                  <pic:spPr>
                    <a:xfrm>
                      <a:off x="0" y="0"/>
                      <a:ext cx="5303520" cy="4070143"/>
                    </a:xfrm>
                    <a:prstGeom prst="rect"/>
                  </pic:spPr>
                </pic:pic>
              </a:graphicData>
            </a:graphic>
          </wp:inline>
        </w:drawing>
      </w:r>
    </w:p>
    <w:p>
      <w:pPr>
        <w:jc w:val="center"/>
      </w:pPr>
      <w:r>
        <w:rPr>
          <w:rFonts w:ascii="Times New Roman" w:hAnsi="Times New Roman"/>
          <w:b/>
          <w:sz w:val="22"/>
        </w:rPr>
        <w:t>Fig 4: Block Diagram — Zenthiqa System Architecture Overview</w:t>
      </w:r>
    </w:p>
    <w:p>
      <w:r>
        <w:br w:type="page"/>
      </w:r>
    </w:p>
    <w:p>
      <w:pPr>
        <w:pStyle w:val="Heading1"/>
        <w:jc w:val="left"/>
      </w:pPr>
      <w:r>
        <w:rPr>
          <w:color w:val="000000"/>
        </w:rPr>
        <w:t>CHAPTER 6: IMPLEMENTATION</w:t>
      </w:r>
    </w:p>
    <w:p>
      <w:pPr>
        <w:pStyle w:val="Heading2"/>
        <w:jc w:val="left"/>
      </w:pPr>
      <w:r>
        <w:rPr>
          <w:color w:val="000000"/>
        </w:rPr>
        <w:t>6.1 Technology Description</w:t>
      </w:r>
    </w:p>
    <w:p>
      <w:pPr>
        <w:jc w:val="both"/>
      </w:pPr>
      <w:r>
        <w:rPr>
          <w:rFonts w:ascii="Times New Roman" w:hAnsi="Times New Roman"/>
          <w:b w:val="0"/>
          <w:sz w:val="24"/>
        </w:rPr>
        <w:t>The Zenthiqa platform is built using a carefully selected set of modern technologies, each chosen for its specific strengths in the relevant domain:</w:t>
      </w:r>
    </w:p>
    <w:p>
      <w:pPr>
        <w:spacing w:before="0" w:after="0"/>
      </w:pPr>
    </w:p>
    <w:p>
      <w:pPr>
        <w:jc w:val="both"/>
      </w:pPr>
      <w:r>
        <w:rPr>
          <w:rFonts w:ascii="Times New Roman" w:hAnsi="Times New Roman"/>
          <w:b w:val="0"/>
          <w:sz w:val="24"/>
        </w:rPr>
        <w:t>Python 3.11: Python serves as the primary language for the backend, data engineering, and machine learning components. Its rich ecosystem of scientific computing libraries (NumPy, Pandas, Scikit-learn) and deep learning frameworks (PyTorch) make it the industry-standard choice for AI/ML applications.</w:t>
      </w:r>
    </w:p>
    <w:p>
      <w:pPr>
        <w:spacing w:before="0" w:after="0"/>
      </w:pPr>
    </w:p>
    <w:p>
      <w:pPr>
        <w:jc w:val="both"/>
      </w:pPr>
      <w:r>
        <w:rPr>
          <w:rFonts w:ascii="Times New Roman" w:hAnsi="Times New Roman"/>
          <w:b w:val="0"/>
          <w:sz w:val="24"/>
        </w:rPr>
        <w:t>PyTorch 2.0: PyTorch's dynamic computation graph and imperative programming style make it highly suitable for research-oriented model development. The MTL and NCF models are both implemented as PyTorch nn.Module subclasses, enabling gradient-based optimization through backpropagation via the torch.optim Adam optimizer.</w:t>
      </w:r>
    </w:p>
    <w:p>
      <w:pPr>
        <w:spacing w:before="0" w:after="0"/>
      </w:pPr>
    </w:p>
    <w:p>
      <w:pPr>
        <w:jc w:val="both"/>
      </w:pPr>
      <w:r>
        <w:rPr>
          <w:rFonts w:ascii="Times New Roman" w:hAnsi="Times New Roman"/>
          <w:b w:val="0"/>
          <w:sz w:val="24"/>
        </w:rPr>
        <w:t>FastAPI: FastAPI is an asynchronous Python web framework built on Starlette and Pydantic. Its automatic request validation via Pydantic schemas, automatic OpenAPI documentation generation, and native async/await support make it ideal for building high-performance ML serving APIs. It achieves performance comparable to Node.js web servers.</w:t>
      </w:r>
    </w:p>
    <w:p>
      <w:pPr>
        <w:spacing w:before="0" w:after="0"/>
      </w:pPr>
    </w:p>
    <w:p>
      <w:pPr>
        <w:jc w:val="both"/>
      </w:pPr>
      <w:r>
        <w:rPr>
          <w:rFonts w:ascii="Times New Roman" w:hAnsi="Times New Roman"/>
          <w:b w:val="0"/>
          <w:sz w:val="24"/>
        </w:rPr>
        <w:t>Next.js 14 (App Router): Next.js provides a production-ready React framework with built-in support for static site generation (SSG). The Zenthiqa frontend uses the App Router paradigm, defining routes through a file-based directory structure. The dashboard components are built as React client components that fetch data from the FastAPI backend using the native fetch API.</w:t>
      </w:r>
    </w:p>
    <w:p>
      <w:pPr>
        <w:spacing w:before="0" w:after="0"/>
      </w:pPr>
    </w:p>
    <w:p>
      <w:pPr>
        <w:jc w:val="both"/>
      </w:pPr>
      <w:r>
        <w:rPr>
          <w:rFonts w:ascii="Times New Roman" w:hAnsi="Times New Roman"/>
          <w:b w:val="0"/>
          <w:sz w:val="24"/>
        </w:rPr>
        <w:t>TailwindCSS: TailwindCSS provides a utility-first CSS framework that enables rapid, consistent styling of the dashboard components without writing custom CSS. Its responsive design utilities ensure the dashboard renders correctly across desktop and tablet screen sizes.</w:t>
      </w:r>
    </w:p>
    <w:p>
      <w:pPr>
        <w:spacing w:before="0" w:after="0"/>
      </w:pPr>
    </w:p>
    <w:p>
      <w:pPr>
        <w:jc w:val="both"/>
      </w:pPr>
      <w:r>
        <w:rPr>
          <w:rFonts w:ascii="Times New Roman" w:hAnsi="Times New Roman"/>
          <w:b w:val="0"/>
          <w:sz w:val="24"/>
        </w:rPr>
        <w:t>AWS EC2 and S3: The backend is deployed on an AWS EC2 t2.micro instance running Ubuntu 22.04 LTS. All model artifacts and Parquet data files are stored on an AWS S3 bucket, downloaded to the EC2 instance at startup via the Boto3 Python SDK. The frontend is deployed as a static website on a separate S3 bucket.</w:t>
      </w:r>
    </w:p>
    <w:p>
      <w:pPr>
        <w:spacing w:before="0" w:after="0"/>
      </w:pPr>
    </w:p>
    <w:p>
      <w:pPr>
        <w:jc w:val="both"/>
      </w:pPr>
      <w:r>
        <w:rPr>
          <w:rFonts w:ascii="Times New Roman" w:hAnsi="Times New Roman"/>
          <w:b w:val="0"/>
          <w:sz w:val="24"/>
        </w:rPr>
        <w:t>Terraform: Infrastructure provisioning for the AWS EC2 instance, S3 buckets, security groups, and IAM roles was automated using Terraform, ensuring reproducible and version-controlled infrastructure.</w:t>
      </w:r>
    </w:p>
    <w:p>
      <w:pPr>
        <w:pStyle w:val="Heading2"/>
        <w:jc w:val="left"/>
      </w:pPr>
      <w:r>
        <w:rPr>
          <w:color w:val="000000"/>
        </w:rPr>
        <w:t>6.2 Source Code</w:t>
      </w:r>
    </w:p>
    <w:p>
      <w:pPr>
        <w:pStyle w:val="Heading3"/>
        <w:jc w:val="left"/>
      </w:pPr>
      <w:r>
        <w:rPr>
          <w:color w:val="000000"/>
        </w:rPr>
        <w:t>6.2.1 Multi-Task Learning Model Architecture (PyTorch)</w:t>
      </w:r>
    </w:p>
    <w:p>
      <w:pPr>
        <w:jc w:val="both"/>
      </w:pPr>
      <w:r>
        <w:rPr>
          <w:rFonts w:ascii="Times New Roman" w:hAnsi="Times New Roman"/>
          <w:b w:val="0"/>
          <w:sz w:val="24"/>
        </w:rPr>
        <w:t>The following Python code defines the core MTL neural network using hard parameter sharing:</w:t>
      </w:r>
    </w:p>
    <w:p>
      <w:pPr>
        <w:spacing w:before="0" w:after="0"/>
      </w:pPr>
    </w:p>
    <w:p>
      <w:pPr>
        <w:pStyle w:val="NoSpacing"/>
      </w:pPr>
      <w:r>
        <w:rPr>
          <w:rFonts w:ascii="Courier New" w:hAnsi="Courier New"/>
          <w:sz w:val="18"/>
        </w:rPr>
        <w:t>import torch</w:t>
        <w:br/>
        <w:t>import torch.nn as nn</w:t>
        <w:br/>
        <w:br/>
        <w:t>class MTLModel(nn.Module):</w:t>
        <w:br/>
        <w:t xml:space="preserve">    def __init__(self, input_dim=3, hidden_dim=64):</w:t>
        <w:br/>
        <w:t xml:space="preserve">        super(MTLModel, self).__init__()</w:t>
        <w:br/>
        <w:t xml:space="preserve">        # Shared Encoder (hard parameter sharing)</w:t>
        <w:br/>
        <w:t xml:space="preserve">        self.shared = nn.Sequential(</w:t>
        <w:br/>
        <w:t xml:space="preserve">            nn.Linear(input_dim, hidden_dim),</w:t>
        <w:br/>
        <w:t xml:space="preserve">            nn.ReLU(),</w:t>
        <w:br/>
        <w:t xml:space="preserve">            nn.Dropout(0.3),</w:t>
        <w:br/>
        <w:t xml:space="preserve">            nn.Linear(hidden_dim, hidden_dim // 2),</w:t>
        <w:br/>
        <w:t xml:space="preserve">            nn.ReLU()</w:t>
        <w:br/>
        <w:t xml:space="preserve">        )</w:t>
        <w:br/>
        <w:t xml:space="preserve">        # Task 1: CLV Regression Head</w:t>
        <w:br/>
        <w:t xml:space="preserve">        self.clv_head = nn.Linear(hidden_dim // 2, 1)</w:t>
        <w:br/>
        <w:t xml:space="preserve">        # Task 2: Churn Classification Head</w:t>
        <w:br/>
        <w:t xml:space="preserve">        self.churn_head = nn.Sequential(</w:t>
        <w:br/>
        <w:t xml:space="preserve">            nn.Linear(hidden_dim // 2, 1),</w:t>
        <w:br/>
        <w:t xml:space="preserve">            nn.Sigmoid()</w:t>
        <w:br/>
        <w:t xml:space="preserve">        )</w:t>
        <w:br/>
        <w:br/>
        <w:t xml:space="preserve">    def forward(self, x):</w:t>
        <w:br/>
        <w:t xml:space="preserve">        shared_repr = self.shared(x)</w:t>
        <w:br/>
        <w:t xml:space="preserve">        clv   = self.clv_head(shared_repr).squeeze()</w:t>
        <w:br/>
        <w:t xml:space="preserve">        churn = self.churn_head(shared_repr).squeeze()</w:t>
        <w:br/>
        <w:t xml:space="preserve">        return clv, churn</w:t>
        <w:br/>
      </w:r>
    </w:p>
    <w:p>
      <w:pPr>
        <w:spacing w:before="0" w:after="0"/>
      </w:pPr>
    </w:p>
    <w:p>
      <w:pPr>
        <w:pStyle w:val="Heading3"/>
        <w:jc w:val="left"/>
      </w:pPr>
      <w:r>
        <w:rPr>
          <w:color w:val="000000"/>
        </w:rPr>
        <w:t>6.2.2 Model Training Loop with Combined Loss</w:t>
      </w:r>
    </w:p>
    <w:p>
      <w:pPr>
        <w:spacing w:before="0" w:after="0"/>
      </w:pPr>
    </w:p>
    <w:p>
      <w:pPr>
        <w:pStyle w:val="NoSpacing"/>
      </w:pPr>
      <w:r>
        <w:rPr>
          <w:rFonts w:ascii="Courier New" w:hAnsi="Courier New"/>
          <w:sz w:val="18"/>
        </w:rPr>
        <w:t>mse_loss  = nn.MSELoss()</w:t>
        <w:br/>
        <w:t>bce_loss  = nn.BCELoss()</w:t>
        <w:br/>
        <w:t>optimizer = torch.optim.Adam(model.parameters(), lr=0.001)</w:t>
        <w:br/>
        <w:br/>
        <w:t>for epoch in range(100):</w:t>
        <w:br/>
        <w:t xml:space="preserve">    model.train()</w:t>
        <w:br/>
        <w:t xml:space="preserve">    optimizer.zero_grad()</w:t>
        <w:br/>
        <w:t xml:space="preserve">    clv_pred, churn_pred = model(X_train)</w:t>
        <w:br/>
        <w:t xml:space="preserve">    loss_clv   = mse_loss(clv_pred,   y_clv_train)</w:t>
        <w:br/>
        <w:t xml:space="preserve">    loss_churn = bce_loss(churn_pred,  y_churn_train)</w:t>
        <w:br/>
        <w:t xml:space="preserve">    total_loss = 0.5 * loss_clv + 0.5 * loss_churn</w:t>
        <w:br/>
        <w:t xml:space="preserve">    total_loss.backward()</w:t>
        <w:br/>
        <w:t xml:space="preserve">    optimizer.step()</w:t>
        <w:br/>
        <w:t xml:space="preserve">    if epoch % 10 == 0:</w:t>
        <w:br/>
        <w:t xml:space="preserve">        print(f'Epoch {epoch}: Loss={total_loss.item():.4f}')</w:t>
        <w:br/>
      </w:r>
    </w:p>
    <w:p>
      <w:pPr>
        <w:spacing w:before="0" w:after="0"/>
      </w:pPr>
    </w:p>
    <w:p>
      <w:pPr>
        <w:pStyle w:val="Heading3"/>
        <w:jc w:val="left"/>
      </w:pPr>
      <w:r>
        <w:rPr>
          <w:color w:val="000000"/>
        </w:rPr>
        <w:t>6.2.3 FastAPI Customer Prediction Endpoint</w:t>
      </w:r>
    </w:p>
    <w:p>
      <w:pPr>
        <w:spacing w:before="0" w:after="0"/>
      </w:pPr>
    </w:p>
    <w:p>
      <w:pPr>
        <w:pStyle w:val="NoSpacing"/>
      </w:pPr>
      <w:r>
        <w:rPr>
          <w:rFonts w:ascii="Courier New" w:hAnsi="Courier New"/>
          <w:sz w:val="18"/>
        </w:rPr>
        <w:t>@app.get('/api/customer/{customer_id}')</w:t>
        <w:br/>
        <w:t>async def get_customer(customer_id: int):</w:t>
        <w:br/>
        <w:t xml:space="preserve">    customer = df_rfm[df_rfm['CustomerID'] == customer_id]</w:t>
        <w:br/>
        <w:t xml:space="preserve">    if customer.empty:</w:t>
        <w:br/>
        <w:t xml:space="preserve">        raise HTTPException(status_code=404,</w:t>
        <w:br/>
        <w:t xml:space="preserve">                            detail='Customer not found')</w:t>
        <w:br/>
        <w:br/>
        <w:t xml:space="preserve">    rfm        = customer[['Recency','Frequency','Monetary']].values[0]</w:t>
        <w:br/>
        <w:t xml:space="preserve">    rfm_scaled = scaler.transform([rfm])</w:t>
        <w:br/>
        <w:t xml:space="preserve">    tensor     = torch.FloatTensor(rfm_scaled)</w:t>
        <w:br/>
        <w:br/>
        <w:t xml:space="preserve">    with torch.no_grad():</w:t>
        <w:br/>
        <w:t xml:space="preserve">        clv, churn_prob = mtl_model(tensor)</w:t>
        <w:br/>
        <w:br/>
        <w:t xml:space="preserve">    shap_vals = compute_shap(rfm_scaled[0])</w:t>
        <w:br/>
        <w:t xml:space="preserve">    recs      = get_recommendations(customer_id, top_n=5)</w:t>
        <w:br/>
        <w:br/>
        <w:t xml:space="preserve">    return {</w:t>
        <w:br/>
        <w:t xml:space="preserve">        'customer_id'      : customer_id,</w:t>
        <w:br/>
        <w:t xml:space="preserve">        'clv'              : float(clv),</w:t>
        <w:br/>
        <w:t xml:space="preserve">        'churn_probability': float(churn_prob),</w:t>
        <w:br/>
        <w:t xml:space="preserve">        'churn_label'      : 'High Risk' if float(churn_prob)&gt;0.6 else 'Safe',</w:t>
        <w:br/>
        <w:t xml:space="preserve">        'shap_values'      : shap_vals,</w:t>
        <w:br/>
        <w:t xml:space="preserve">        'recommendations'  : recs</w:t>
        <w:br/>
        <w:t xml:space="preserve">    }</w:t>
        <w:br/>
      </w:r>
    </w:p>
    <w:p>
      <w:pPr>
        <w:spacing w:before="0" w:after="0"/>
      </w:pPr>
    </w:p>
    <w:p>
      <w:pPr>
        <w:pStyle w:val="Heading3"/>
        <w:jc w:val="left"/>
      </w:pPr>
      <w:r>
        <w:rPr>
          <w:color w:val="000000"/>
        </w:rPr>
        <w:t>6.2.4 Exact SHAP Value Computation</w:t>
      </w:r>
    </w:p>
    <w:p>
      <w:pPr>
        <w:spacing w:before="0" w:after="0"/>
      </w:pPr>
    </w:p>
    <w:p>
      <w:pPr>
        <w:pStyle w:val="NoSpacing"/>
      </w:pPr>
      <w:r>
        <w:rPr>
          <w:rFonts w:ascii="Courier New" w:hAnsi="Courier New"/>
          <w:sz w:val="18"/>
        </w:rPr>
        <w:t>from itertools import combinations</w:t>
        <w:br/>
        <w:t>import numpy as np</w:t>
        <w:br/>
        <w:br/>
        <w:t>def compute_shap(rfm_values):</w:t>
        <w:br/>
        <w:t xml:space="preserve">    features  = ['Recency', 'Frequency', 'Monetary']</w:t>
        <w:br/>
        <w:t xml:space="preserve">    n         = len(features)</w:t>
        <w:br/>
        <w:t xml:space="preserve">    shap_vals = {f: 0.0 for f in features}</w:t>
        <w:br/>
        <w:br/>
        <w:t xml:space="preserve">    for i in range(n):</w:t>
        <w:br/>
        <w:t xml:space="preserve">        others = [j for j in range(n) if j != i]</w:t>
        <w:br/>
        <w:t xml:space="preserve">        for size in range(n):</w:t>
        <w:br/>
        <w:t xml:space="preserve">            for subset in combinations(others, size):</w:t>
        <w:br/>
        <w:t xml:space="preserve">                with_f    = np.zeros(n)</w:t>
        <w:br/>
        <w:t xml:space="preserve">                without_f = np.zeros(n)</w:t>
        <w:br/>
        <w:t xml:space="preserve">                for s in subset:</w:t>
        <w:br/>
        <w:t xml:space="preserve">                    with_f[s] = without_f[s] = rfm_values[s]</w:t>
        <w:br/>
        <w:t xml:space="preserve">                with_f[i] = rfm_values[i]</w:t>
        <w:br/>
        <w:t xml:space="preserve">                with torch.no_grad():</w:t>
        <w:br/>
        <w:t xml:space="preserve">                    clv_w, _  = mtl_model(torch.FloatTensor([with_f]))</w:t>
        <w:br/>
        <w:t xml:space="preserve">                    clv_wo, _ = mtl_model(torch.FloatTensor([without_f]))</w:t>
        <w:br/>
        <w:t xml:space="preserve">                shap_vals[features[i]] += float(clv_w) - float(clv_wo)</w:t>
        <w:br/>
        <w:t xml:space="preserve">    return shap_vals</w:t>
        <w:br/>
      </w:r>
    </w:p>
    <w:p>
      <w:r>
        <w:br w:type="page"/>
      </w:r>
    </w:p>
    <w:p>
      <w:pPr>
        <w:pStyle w:val="Heading1"/>
        <w:jc w:val="left"/>
      </w:pPr>
      <w:r>
        <w:rPr>
          <w:color w:val="000000"/>
        </w:rPr>
        <w:t>CHAPTER 7: SCREEN SHORTS</w:t>
      </w:r>
    </w:p>
    <w:p>
      <w:pPr>
        <w:pStyle w:val="Heading2"/>
        <w:jc w:val="left"/>
      </w:pPr>
      <w:r>
        <w:rPr>
          <w:color w:val="000000"/>
        </w:rPr>
        <w:t>7.1 Input Code</w:t>
      </w:r>
    </w:p>
    <w:p>
      <w:pPr>
        <w:jc w:val="both"/>
      </w:pPr>
      <w:r>
        <w:rPr>
          <w:rFonts w:ascii="Times New Roman" w:hAnsi="Times New Roman"/>
          <w:b w:val="0"/>
          <w:sz w:val="24"/>
        </w:rPr>
        <w:t>This section presents the input code used to interact with the Zenthiqa system. The primary input mechanism for the analytical backend is the Customer ID, which is passed as a path parameter to the FastAPI prediction endpoint. Additionally, the batch processing feature accepts a CSV file as input, where the first column contains a list of Customer IDs. The following illustrates the standard input format:</w:t>
      </w:r>
    </w:p>
    <w:p>
      <w:pPr>
        <w:spacing w:before="0" w:after="0"/>
      </w:pPr>
    </w:p>
    <w:p>
      <w:pPr>
        <w:pStyle w:val="NoSpacing"/>
      </w:pPr>
      <w:r>
        <w:rPr>
          <w:rFonts w:ascii="Courier New" w:hAnsi="Courier New"/>
          <w:sz w:val="18"/>
        </w:rPr>
        <w:t># Individual Customer Query (frontend fetch call)</w:t>
        <w:br/>
        <w:t>const response = await fetch(</w:t>
        <w:br/>
        <w:t xml:space="preserve">  `${API_BASE}/api/customer/${customerId}`,</w:t>
        <w:br/>
        <w:t xml:space="preserve">  { method: 'GET', headers: { 'Content-Type': 'application/json' } }</w:t>
        <w:br/>
        <w:t>);</w:t>
        <w:br/>
        <w:t>const data = await response.json();</w:t>
        <w:br/>
        <w:br/>
        <w:t># Batch Processing Input CSV format:</w:t>
        <w:br/>
        <w:t># CustomerID</w:t>
        <w:br/>
        <w:t># 14911</w:t>
        <w:br/>
        <w:t># 17850</w:t>
        <w:br/>
        <w:t># 12583</w:t>
        <w:br/>
      </w:r>
    </w:p>
    <w:p>
      <w:pPr>
        <w:pStyle w:val="Heading2"/>
        <w:jc w:val="left"/>
      </w:pPr>
      <w:r>
        <w:rPr>
          <w:color w:val="000000"/>
        </w:rPr>
        <w:t>7.2 Interface</w:t>
      </w:r>
    </w:p>
    <w:p>
      <w:pPr>
        <w:jc w:val="both"/>
      </w:pPr>
      <w:r>
        <w:rPr>
          <w:rFonts w:ascii="Times New Roman" w:hAnsi="Times New Roman"/>
          <w:b w:val="0"/>
          <w:sz w:val="24"/>
        </w:rPr>
        <w:t>The Zenthiqa dashboard interface is built using Next.js and TailwindCSS, providing a modern, responsive user experience. The interface is divided into five primary tabbed sections accessible via the navigation bar at the top of the dashboard. The following screenshots demonstrate the key interface sections of the live deployed application.</w:t>
      </w:r>
    </w:p>
    <w:p>
      <w:pPr>
        <w:spacing w:before="0" w:after="0"/>
      </w:pPr>
    </w:p>
    <w:p>
      <w:pPr>
        <w:jc w:val="center"/>
      </w:pPr>
      <w:r>
        <w:drawing>
          <wp:inline xmlns:a="http://schemas.openxmlformats.org/drawingml/2006/main" xmlns:pic="http://schemas.openxmlformats.org/drawingml/2006/picture">
            <wp:extent cx="5029200" cy="2540794"/>
            <wp:docPr id="7" name="Picture 7"/>
            <wp:cNvGraphicFramePr>
              <a:graphicFrameLocks noChangeAspect="1"/>
            </wp:cNvGraphicFramePr>
            <a:graphic>
              <a:graphicData uri="http://schemas.openxmlformats.org/drawingml/2006/picture">
                <pic:pic>
                  <pic:nvPicPr>
                    <pic:cNvPr id="0" name="screenshot_overview.png"/>
                    <pic:cNvPicPr/>
                  </pic:nvPicPr>
                  <pic:blipFill>
                    <a:blip r:embed="rId16"/>
                    <a:stretch>
                      <a:fillRect/>
                    </a:stretch>
                  </pic:blipFill>
                  <pic:spPr>
                    <a:xfrm>
                      <a:off x="0" y="0"/>
                      <a:ext cx="5029200" cy="2540794"/>
                    </a:xfrm>
                    <a:prstGeom prst="rect"/>
                  </pic:spPr>
                </pic:pic>
              </a:graphicData>
            </a:graphic>
          </wp:inline>
        </w:drawing>
      </w:r>
    </w:p>
    <w:p>
      <w:pPr>
        <w:jc w:val="center"/>
      </w:pPr>
      <w:r>
        <w:rPr>
          <w:rFonts w:ascii="Times New Roman" w:hAnsi="Times New Roman"/>
          <w:b/>
          <w:sz w:val="22"/>
        </w:rPr>
        <w:t>Fig 5: Zenthiqa Overview Dashboard Tab</w:t>
      </w:r>
    </w:p>
    <w:p>
      <w:pPr>
        <w:spacing w:before="0" w:after="0"/>
      </w:pPr>
    </w:p>
    <w:p>
      <w:pPr>
        <w:jc w:val="center"/>
      </w:pPr>
      <w:r>
        <w:drawing>
          <wp:inline xmlns:a="http://schemas.openxmlformats.org/drawingml/2006/main" xmlns:pic="http://schemas.openxmlformats.org/drawingml/2006/picture">
            <wp:extent cx="5029200" cy="2540794"/>
            <wp:docPr id="8" name="Picture 8"/>
            <wp:cNvGraphicFramePr>
              <a:graphicFrameLocks noChangeAspect="1"/>
            </wp:cNvGraphicFramePr>
            <a:graphic>
              <a:graphicData uri="http://schemas.openxmlformats.org/drawingml/2006/picture">
                <pic:pic>
                  <pic:nvPicPr>
                    <pic:cNvPr id="0" name="screenshot_insights.png"/>
                    <pic:cNvPicPr/>
                  </pic:nvPicPr>
                  <pic:blipFill>
                    <a:blip r:embed="rId17"/>
                    <a:stretch>
                      <a:fillRect/>
                    </a:stretch>
                  </pic:blipFill>
                  <pic:spPr>
                    <a:xfrm>
                      <a:off x="0" y="0"/>
                      <a:ext cx="5029200" cy="2540794"/>
                    </a:xfrm>
                    <a:prstGeom prst="rect"/>
                  </pic:spPr>
                </pic:pic>
              </a:graphicData>
            </a:graphic>
          </wp:inline>
        </w:drawing>
      </w:r>
    </w:p>
    <w:p>
      <w:pPr>
        <w:jc w:val="center"/>
      </w:pPr>
      <w:r>
        <w:rPr>
          <w:rFonts w:ascii="Times New Roman" w:hAnsi="Times New Roman"/>
          <w:b/>
          <w:sz w:val="22"/>
        </w:rPr>
        <w:t>Fig 6: AI Insights Generation — Customer Insights Tab</w:t>
      </w:r>
    </w:p>
    <w:p>
      <w:pPr>
        <w:spacing w:before="0" w:after="0"/>
      </w:pPr>
    </w:p>
    <w:p>
      <w:pPr>
        <w:jc w:val="center"/>
      </w:pPr>
      <w:r>
        <w:drawing>
          <wp:inline xmlns:a="http://schemas.openxmlformats.org/drawingml/2006/main" xmlns:pic="http://schemas.openxmlformats.org/drawingml/2006/picture">
            <wp:extent cx="5029200" cy="2540794"/>
            <wp:docPr id="9" name="Picture 9"/>
            <wp:cNvGraphicFramePr>
              <a:graphicFrameLocks noChangeAspect="1"/>
            </wp:cNvGraphicFramePr>
            <a:graphic>
              <a:graphicData uri="http://schemas.openxmlformats.org/drawingml/2006/picture">
                <pic:pic>
                  <pic:nvPicPr>
                    <pic:cNvPr id="0" name="screenshot_simulator.png"/>
                    <pic:cNvPicPr/>
                  </pic:nvPicPr>
                  <pic:blipFill>
                    <a:blip r:embed="rId18"/>
                    <a:stretch>
                      <a:fillRect/>
                    </a:stretch>
                  </pic:blipFill>
                  <pic:spPr>
                    <a:xfrm>
                      <a:off x="0" y="0"/>
                      <a:ext cx="5029200" cy="2540794"/>
                    </a:xfrm>
                    <a:prstGeom prst="rect"/>
                  </pic:spPr>
                </pic:pic>
              </a:graphicData>
            </a:graphic>
          </wp:inline>
        </w:drawing>
      </w:r>
    </w:p>
    <w:p>
      <w:pPr>
        <w:jc w:val="center"/>
      </w:pPr>
      <w:r>
        <w:rPr>
          <w:rFonts w:ascii="Times New Roman" w:hAnsi="Times New Roman"/>
          <w:b/>
          <w:sz w:val="22"/>
        </w:rPr>
        <w:t>Fig 7: What-If Simulator with SHAP Feature Attribution</w:t>
      </w:r>
    </w:p>
    <w:p>
      <w:pPr>
        <w:spacing w:before="0" w:after="0"/>
      </w:pPr>
    </w:p>
    <w:p>
      <w:pPr>
        <w:jc w:val="center"/>
      </w:pPr>
      <w:r>
        <w:drawing>
          <wp:inline xmlns:a="http://schemas.openxmlformats.org/drawingml/2006/main" xmlns:pic="http://schemas.openxmlformats.org/drawingml/2006/picture">
            <wp:extent cx="5029200" cy="2540794"/>
            <wp:docPr id="10" name="Picture 10"/>
            <wp:cNvGraphicFramePr>
              <a:graphicFrameLocks noChangeAspect="1"/>
            </wp:cNvGraphicFramePr>
            <a:graphic>
              <a:graphicData uri="http://schemas.openxmlformats.org/drawingml/2006/picture">
                <pic:pic>
                  <pic:nvPicPr>
                    <pic:cNvPr id="0" name="screenshot_segments.png"/>
                    <pic:cNvPicPr/>
                  </pic:nvPicPr>
                  <pic:blipFill>
                    <a:blip r:embed="rId19"/>
                    <a:stretch>
                      <a:fillRect/>
                    </a:stretch>
                  </pic:blipFill>
                  <pic:spPr>
                    <a:xfrm>
                      <a:off x="0" y="0"/>
                      <a:ext cx="5029200" cy="2540794"/>
                    </a:xfrm>
                    <a:prstGeom prst="rect"/>
                  </pic:spPr>
                </pic:pic>
              </a:graphicData>
            </a:graphic>
          </wp:inline>
        </w:drawing>
      </w:r>
    </w:p>
    <w:p>
      <w:pPr>
        <w:jc w:val="center"/>
      </w:pPr>
      <w:r>
        <w:rPr>
          <w:rFonts w:ascii="Times New Roman" w:hAnsi="Times New Roman"/>
          <w:b/>
          <w:sz w:val="22"/>
        </w:rPr>
        <w:t>Fig 10: Customer Segments Tab — K-Means Clustering Results</w:t>
      </w:r>
    </w:p>
    <w:p>
      <w:pPr>
        <w:pStyle w:val="Heading2"/>
        <w:jc w:val="left"/>
      </w:pPr>
      <w:r>
        <w:rPr>
          <w:color w:val="000000"/>
        </w:rPr>
        <w:t>7.3 Output Screen</w:t>
      </w:r>
    </w:p>
    <w:p>
      <w:pPr>
        <w:jc w:val="both"/>
      </w:pPr>
      <w:r>
        <w:rPr>
          <w:rFonts w:ascii="Times New Roman" w:hAnsi="Times New Roman"/>
          <w:b w:val="0"/>
          <w:sz w:val="24"/>
        </w:rPr>
        <w:t>The following screenshots illustrate the key output screens of the Zenthiqa system, demonstrating the results of the batch processing pipeline, the at-risk customer detection, the automated win-back email generation, and the product recommendation engine.</w:t>
      </w:r>
    </w:p>
    <w:p>
      <w:pPr>
        <w:spacing w:before="0" w:after="0"/>
      </w:pPr>
    </w:p>
    <w:p>
      <w:pPr>
        <w:jc w:val="center"/>
      </w:pPr>
      <w:r>
        <w:drawing>
          <wp:inline xmlns:a="http://schemas.openxmlformats.org/drawingml/2006/main" xmlns:pic="http://schemas.openxmlformats.org/drawingml/2006/picture">
            <wp:extent cx="5029200" cy="2540794"/>
            <wp:docPr id="11" name="Picture 11"/>
            <wp:cNvGraphicFramePr>
              <a:graphicFrameLocks noChangeAspect="1"/>
            </wp:cNvGraphicFramePr>
            <a:graphic>
              <a:graphicData uri="http://schemas.openxmlformats.org/drawingml/2006/picture">
                <pic:pic>
                  <pic:nvPicPr>
                    <pic:cNvPr id="0" name="screenshot_batch.png"/>
                    <pic:cNvPicPr/>
                  </pic:nvPicPr>
                  <pic:blipFill>
                    <a:blip r:embed="rId20"/>
                    <a:stretch>
                      <a:fillRect/>
                    </a:stretch>
                  </pic:blipFill>
                  <pic:spPr>
                    <a:xfrm>
                      <a:off x="0" y="0"/>
                      <a:ext cx="5029200" cy="2540794"/>
                    </a:xfrm>
                    <a:prstGeom prst="rect"/>
                  </pic:spPr>
                </pic:pic>
              </a:graphicData>
            </a:graphic>
          </wp:inline>
        </w:drawing>
      </w:r>
    </w:p>
    <w:p>
      <w:pPr>
        <w:jc w:val="center"/>
      </w:pPr>
      <w:r>
        <w:rPr>
          <w:rFonts w:ascii="Times New Roman" w:hAnsi="Times New Roman"/>
          <w:b/>
          <w:sz w:val="22"/>
        </w:rPr>
        <w:t>Fig 8: Batch Processing Tab — Bulk Customer Analysis</w:t>
      </w:r>
    </w:p>
    <w:p>
      <w:pPr>
        <w:spacing w:before="0" w:after="0"/>
      </w:pPr>
    </w:p>
    <w:p>
      <w:pPr>
        <w:jc w:val="center"/>
      </w:pPr>
      <w:r>
        <w:drawing>
          <wp:inline xmlns:a="http://schemas.openxmlformats.org/drawingml/2006/main" xmlns:pic="http://schemas.openxmlformats.org/drawingml/2006/picture">
            <wp:extent cx="5029200" cy="2540794"/>
            <wp:docPr id="12" name="Picture 12"/>
            <wp:cNvGraphicFramePr>
              <a:graphicFrameLocks noChangeAspect="1"/>
            </wp:cNvGraphicFramePr>
            <a:graphic>
              <a:graphicData uri="http://schemas.openxmlformats.org/drawingml/2006/picture">
                <pic:pic>
                  <pic:nvPicPr>
                    <pic:cNvPr id="0" name="screenshot_atrisk.png"/>
                    <pic:cNvPicPr/>
                  </pic:nvPicPr>
                  <pic:blipFill>
                    <a:blip r:embed="rId21"/>
                    <a:stretch>
                      <a:fillRect/>
                    </a:stretch>
                  </pic:blipFill>
                  <pic:spPr>
                    <a:xfrm>
                      <a:off x="0" y="0"/>
                      <a:ext cx="5029200" cy="2540794"/>
                    </a:xfrm>
                    <a:prstGeom prst="rect"/>
                  </pic:spPr>
                </pic:pic>
              </a:graphicData>
            </a:graphic>
          </wp:inline>
        </w:drawing>
      </w:r>
    </w:p>
    <w:p>
      <w:pPr>
        <w:jc w:val="center"/>
      </w:pPr>
      <w:r>
        <w:rPr>
          <w:rFonts w:ascii="Times New Roman" w:hAnsi="Times New Roman"/>
          <w:b/>
          <w:sz w:val="22"/>
        </w:rPr>
        <w:t>Fig 9: At-Risk Customers Tab — High Churn Risk Customers</w:t>
      </w:r>
    </w:p>
    <w:p>
      <w:pPr>
        <w:spacing w:before="0" w:after="0"/>
      </w:pPr>
    </w:p>
    <w:p>
      <w:pPr>
        <w:jc w:val="center"/>
      </w:pPr>
      <w:r>
        <w:drawing>
          <wp:inline xmlns:a="http://schemas.openxmlformats.org/drawingml/2006/main" xmlns:pic="http://schemas.openxmlformats.org/drawingml/2006/picture">
            <wp:extent cx="5029200" cy="2540794"/>
            <wp:docPr id="13" name="Picture 13"/>
            <wp:cNvGraphicFramePr>
              <a:graphicFrameLocks noChangeAspect="1"/>
            </wp:cNvGraphicFramePr>
            <a:graphic>
              <a:graphicData uri="http://schemas.openxmlformats.org/drawingml/2006/picture">
                <pic:pic>
                  <pic:nvPicPr>
                    <pic:cNvPr id="0" name="screenshot_email.png"/>
                    <pic:cNvPicPr/>
                  </pic:nvPicPr>
                  <pic:blipFill>
                    <a:blip r:embed="rId22"/>
                    <a:stretch>
                      <a:fillRect/>
                    </a:stretch>
                  </pic:blipFill>
                  <pic:spPr>
                    <a:xfrm>
                      <a:off x="0" y="0"/>
                      <a:ext cx="5029200" cy="2540794"/>
                    </a:xfrm>
                    <a:prstGeom prst="rect"/>
                  </pic:spPr>
                </pic:pic>
              </a:graphicData>
            </a:graphic>
          </wp:inline>
        </w:drawing>
      </w:r>
    </w:p>
    <w:p>
      <w:pPr>
        <w:jc w:val="center"/>
      </w:pPr>
      <w:r>
        <w:rPr>
          <w:rFonts w:ascii="Times New Roman" w:hAnsi="Times New Roman"/>
          <w:b/>
          <w:sz w:val="22"/>
        </w:rPr>
        <w:t>Fig 11: Automated Win-Back Email Generation Output</w:t>
      </w:r>
    </w:p>
    <w:p>
      <w:pPr>
        <w:spacing w:before="0" w:after="0"/>
      </w:pPr>
    </w:p>
    <w:p>
      <w:pPr>
        <w:jc w:val="center"/>
      </w:pPr>
      <w:r>
        <w:drawing>
          <wp:inline xmlns:a="http://schemas.openxmlformats.org/drawingml/2006/main" xmlns:pic="http://schemas.openxmlformats.org/drawingml/2006/picture">
            <wp:extent cx="5029200" cy="2540794"/>
            <wp:docPr id="14" name="Picture 14"/>
            <wp:cNvGraphicFramePr>
              <a:graphicFrameLocks noChangeAspect="1"/>
            </wp:cNvGraphicFramePr>
            <a:graphic>
              <a:graphicData uri="http://schemas.openxmlformats.org/drawingml/2006/picture">
                <pic:pic>
                  <pic:nvPicPr>
                    <pic:cNvPr id="0" name="screenshot_products.png"/>
                    <pic:cNvPicPr/>
                  </pic:nvPicPr>
                  <pic:blipFill>
                    <a:blip r:embed="rId23"/>
                    <a:stretch>
                      <a:fillRect/>
                    </a:stretch>
                  </pic:blipFill>
                  <pic:spPr>
                    <a:xfrm>
                      <a:off x="0" y="0"/>
                      <a:ext cx="5029200" cy="2540794"/>
                    </a:xfrm>
                    <a:prstGeom prst="rect"/>
                  </pic:spPr>
                </pic:pic>
              </a:graphicData>
            </a:graphic>
          </wp:inline>
        </w:drawing>
      </w:r>
    </w:p>
    <w:p>
      <w:pPr>
        <w:jc w:val="center"/>
      </w:pPr>
      <w:r>
        <w:rPr>
          <w:rFonts w:ascii="Times New Roman" w:hAnsi="Times New Roman"/>
          <w:b/>
          <w:sz w:val="22"/>
        </w:rPr>
        <w:t>Fig 12: NCF-Powered Product Recommendations Tab</w:t>
      </w:r>
    </w:p>
    <w:p>
      <w:r>
        <w:br w:type="page"/>
      </w:r>
    </w:p>
    <w:p>
      <w:pPr>
        <w:pStyle w:val="Heading1"/>
        <w:jc w:val="left"/>
      </w:pPr>
      <w:r>
        <w:rPr>
          <w:color w:val="000000"/>
        </w:rPr>
        <w:t>CHAPTER 8: SYSTEM TESTING</w:t>
      </w:r>
    </w:p>
    <w:p>
      <w:pPr>
        <w:pStyle w:val="Heading2"/>
        <w:jc w:val="left"/>
      </w:pPr>
      <w:r>
        <w:rPr>
          <w:color w:val="000000"/>
        </w:rPr>
        <w:t>8.1 Introduction</w:t>
      </w:r>
    </w:p>
    <w:p>
      <w:pPr>
        <w:jc w:val="both"/>
      </w:pPr>
      <w:r>
        <w:rPr>
          <w:rFonts w:ascii="Times New Roman" w:hAnsi="Times New Roman"/>
          <w:b w:val="0"/>
          <w:sz w:val="24"/>
        </w:rPr>
        <w:t>System testing is a critical phase in the software development lifecycle that verifies whether the completed system meets the specified requirements. For Zenthiqa, the testing strategy validates correctness at multiple levels: individual component behavior (unit testing), correct interaction between components (integration testing), alignment with functional requirements (functional testing), real-world performance (performance testing), user-friendliness (usability testing), logical correctness (validation testing), and resilience to invalid inputs (error handling testing). The goal was to ensure the deployed system is reliable, accurate, and behaves predictably under a variety of input conditions.</w:t>
      </w:r>
    </w:p>
    <w:p>
      <w:pPr>
        <w:pStyle w:val="Heading2"/>
        <w:jc w:val="left"/>
      </w:pPr>
      <w:r>
        <w:rPr>
          <w:color w:val="000000"/>
        </w:rPr>
        <w:t>8.2 Types of Testing</w:t>
      </w:r>
    </w:p>
    <w:p>
      <w:pPr>
        <w:pStyle w:val="Heading3"/>
        <w:jc w:val="left"/>
      </w:pPr>
      <w:r>
        <w:rPr>
          <w:color w:val="000000"/>
        </w:rPr>
        <w:t>8.2.1 Unit Testing</w:t>
      </w:r>
    </w:p>
    <w:p>
      <w:pPr>
        <w:jc w:val="both"/>
      </w:pPr>
      <w:r>
        <w:rPr>
          <w:rFonts w:ascii="Times New Roman" w:hAnsi="Times New Roman"/>
          <w:b w:val="0"/>
          <w:sz w:val="24"/>
        </w:rPr>
        <w:t>Unit testing was performed on the individual Python functions and PyTorch model components of the backend. Specific test cases included:</w:t>
      </w:r>
    </w:p>
    <w:p>
      <w:pPr>
        <w:pStyle w:val="ListBullet"/>
        <w:spacing w:line="360" w:lineRule="auto"/>
        <w:jc w:val="both"/>
      </w:pPr>
      <w:r>
        <w:rPr>
          <w:rFonts w:ascii="Times New Roman" w:hAnsi="Times New Roman"/>
          <w:sz w:val="24"/>
        </w:rPr>
        <w:t>RFM Calculation: Verified that the RFM feature engineering function correctly calculated Recency, Frequency, and Monetary values for test customers with known transaction histories.</w:t>
      </w:r>
    </w:p>
    <w:p>
      <w:pPr>
        <w:pStyle w:val="ListBullet"/>
        <w:spacing w:line="360" w:lineRule="auto"/>
        <w:jc w:val="both"/>
      </w:pPr>
      <w:r>
        <w:rPr>
          <w:rFonts w:ascii="Times New Roman" w:hAnsi="Times New Roman"/>
          <w:sz w:val="24"/>
        </w:rPr>
        <w:t>MTL Model Forward Pass: Verified that for a given RFM input tensor, MTLModel.forward() produces outputs of the correct shape and data type, with CLV as a scalar float and Churn as a probability in the range [0, 1].</w:t>
      </w:r>
    </w:p>
    <w:p>
      <w:pPr>
        <w:pStyle w:val="ListBullet"/>
        <w:spacing w:line="360" w:lineRule="auto"/>
        <w:jc w:val="both"/>
      </w:pPr>
      <w:r>
        <w:rPr>
          <w:rFonts w:ascii="Times New Roman" w:hAnsi="Times New Roman"/>
          <w:sz w:val="24"/>
        </w:rPr>
        <w:t>NCF Model Prediction: Verified that for a given customer ID, the NCF model returns exactly N product IDs with no duplicates, for N values of 3, 5, and 10.</w:t>
      </w:r>
    </w:p>
    <w:p>
      <w:pPr>
        <w:pStyle w:val="ListBullet"/>
        <w:spacing w:line="360" w:lineRule="auto"/>
        <w:jc w:val="both"/>
      </w:pPr>
      <w:r>
        <w:rPr>
          <w:rFonts w:ascii="Times New Roman" w:hAnsi="Times New Roman"/>
          <w:sz w:val="24"/>
        </w:rPr>
        <w:t>SHAP Computation: Verified that the sum of all SHAP values approximates the difference between the model's actual prediction and its baseline prediction, validating the local accuracy property.</w:t>
      </w:r>
    </w:p>
    <w:p>
      <w:pPr>
        <w:pStyle w:val="Heading3"/>
        <w:jc w:val="left"/>
      </w:pPr>
      <w:r>
        <w:rPr>
          <w:color w:val="000000"/>
        </w:rPr>
        <w:t>8.2.2 Integration Testing</w:t>
      </w:r>
    </w:p>
    <w:p>
      <w:pPr>
        <w:jc w:val="both"/>
      </w:pPr>
      <w:r>
        <w:rPr>
          <w:rFonts w:ascii="Times New Roman" w:hAnsi="Times New Roman"/>
          <w:b w:val="0"/>
          <w:sz w:val="24"/>
        </w:rPr>
        <w:t>Integration testing verified that the FastAPI backend endpoints correctly orchestrated the interactions between the data layer, model inference layer, and API response serialization layer.</w:t>
      </w:r>
    </w:p>
    <w:p>
      <w:pPr>
        <w:spacing w:before="0" w:after="0"/>
      </w:pPr>
    </w:p>
    <w:tbl>
      <w:tblPr>
        <w:tblStyle w:val="TableGrid"/>
        <w:tblW w:type="auto" w:w="0"/>
        <w:tblLook w:firstColumn="1" w:firstRow="1" w:lastColumn="0" w:lastRow="0" w:noHBand="0" w:noVBand="1" w:val="04A0"/>
      </w:tblPr>
      <w:tblGrid>
        <w:gridCol w:w="3000"/>
        <w:gridCol w:w="3000"/>
        <w:gridCol w:w="3000"/>
      </w:tblGrid>
      <w:tr>
        <w:tc>
          <w:tcPr>
            <w:tcW w:type="dxa" w:w="3000"/>
          </w:tcPr>
          <w:p>
            <w:r>
              <w:rPr>
                <w:sz w:val="20"/>
              </w:rPr>
              <w:t>GET /api/customer/{id} — valid ID</w:t>
            </w:r>
          </w:p>
        </w:tc>
        <w:tc>
          <w:tcPr>
            <w:tcW w:type="dxa" w:w="3000"/>
          </w:tcPr>
          <w:p>
            <w:r>
              <w:rPr>
                <w:sz w:val="20"/>
              </w:rPr>
              <w:t>HTTP 200 with correct JSON</w:t>
            </w:r>
          </w:p>
        </w:tc>
        <w:tc>
          <w:tcPr>
            <w:tcW w:type="dxa" w:w="3000"/>
          </w:tcPr>
          <w:p>
            <w:r>
              <w:rPr>
                <w:sz w:val="20"/>
              </w:rPr>
              <w:t>PASS</w:t>
            </w:r>
          </w:p>
        </w:tc>
      </w:tr>
      <w:tr>
        <w:tc>
          <w:tcPr>
            <w:tcW w:type="dxa" w:w="3000"/>
          </w:tcPr>
          <w:p>
            <w:r>
              <w:rPr>
                <w:sz w:val="20"/>
              </w:rPr>
              <w:t>GET /api/customer/{id} — invalid ID</w:t>
            </w:r>
          </w:p>
        </w:tc>
        <w:tc>
          <w:tcPr>
            <w:tcW w:type="dxa" w:w="3000"/>
          </w:tcPr>
          <w:p>
            <w:r>
              <w:rPr>
                <w:sz w:val="20"/>
              </w:rPr>
              <w:t>HTTP 404 with error message</w:t>
            </w:r>
          </w:p>
        </w:tc>
        <w:tc>
          <w:tcPr>
            <w:tcW w:type="dxa" w:w="3000"/>
          </w:tcPr>
          <w:p>
            <w:r>
              <w:rPr>
                <w:sz w:val="20"/>
              </w:rPr>
              <w:t>PASS</w:t>
            </w:r>
          </w:p>
        </w:tc>
      </w:tr>
      <w:tr>
        <w:tc>
          <w:tcPr>
            <w:tcW w:type="dxa" w:w="3000"/>
          </w:tcPr>
          <w:p>
            <w:r>
              <w:rPr>
                <w:sz w:val="20"/>
              </w:rPr>
              <w:t>GET /api/at-risk</w:t>
            </w:r>
          </w:p>
        </w:tc>
        <w:tc>
          <w:tcPr>
            <w:tcW w:type="dxa" w:w="3000"/>
          </w:tcPr>
          <w:p>
            <w:r>
              <w:rPr>
                <w:sz w:val="20"/>
              </w:rPr>
              <w:t>HTTP 200 with high-risk customer list</w:t>
            </w:r>
          </w:p>
        </w:tc>
        <w:tc>
          <w:tcPr>
            <w:tcW w:type="dxa" w:w="3000"/>
          </w:tcPr>
          <w:p>
            <w:r>
              <w:rPr>
                <w:sz w:val="20"/>
              </w:rPr>
              <w:t>PASS</w:t>
            </w:r>
          </w:p>
        </w:tc>
      </w:tr>
      <w:tr>
        <w:tc>
          <w:tcPr>
            <w:tcW w:type="dxa" w:w="3000"/>
          </w:tcPr>
          <w:p>
            <w:r>
              <w:rPr>
                <w:sz w:val="20"/>
              </w:rPr>
              <w:t>POST /api/batch — valid CSV</w:t>
            </w:r>
          </w:p>
        </w:tc>
        <w:tc>
          <w:tcPr>
            <w:tcW w:type="dxa" w:w="3000"/>
          </w:tcPr>
          <w:p>
            <w:r>
              <w:rPr>
                <w:sz w:val="20"/>
              </w:rPr>
              <w:t>HTTP 200 with predictions for all rows</w:t>
            </w:r>
          </w:p>
        </w:tc>
        <w:tc>
          <w:tcPr>
            <w:tcW w:type="dxa" w:w="3000"/>
          </w:tcPr>
          <w:p>
            <w:r>
              <w:rPr>
                <w:sz w:val="20"/>
              </w:rPr>
              <w:t>PASS</w:t>
            </w:r>
          </w:p>
        </w:tc>
      </w:tr>
      <w:tr>
        <w:tc>
          <w:tcPr>
            <w:tcW w:type="dxa" w:w="3000"/>
          </w:tcPr>
          <w:p>
            <w:r>
              <w:rPr>
                <w:sz w:val="20"/>
              </w:rPr>
              <w:t>POST /api/batch — malformed CSV</w:t>
            </w:r>
          </w:p>
        </w:tc>
        <w:tc>
          <w:tcPr>
            <w:tcW w:type="dxa" w:w="3000"/>
          </w:tcPr>
          <w:p>
            <w:r>
              <w:rPr>
                <w:sz w:val="20"/>
              </w:rPr>
              <w:t>HTTP 400 with descriptive error</w:t>
            </w:r>
          </w:p>
        </w:tc>
        <w:tc>
          <w:tcPr>
            <w:tcW w:type="dxa" w:w="3000"/>
          </w:tcPr>
          <w:p>
            <w:r>
              <w:rPr>
                <w:sz w:val="20"/>
              </w:rPr>
              <w:t>PASS</w:t>
            </w:r>
          </w:p>
        </w:tc>
      </w:tr>
      <w:tr>
        <w:tc>
          <w:tcPr>
            <w:tcW w:type="dxa" w:w="3000"/>
          </w:tcPr>
          <w:p>
            <w:r>
              <w:rPr>
                <w:sz w:val="20"/>
              </w:rPr>
              <w:t>GET /api/simulate</w:t>
            </w:r>
          </w:p>
        </w:tc>
        <w:tc>
          <w:tcPr>
            <w:tcW w:type="dxa" w:w="3000"/>
          </w:tcPr>
          <w:p>
            <w:r>
              <w:rPr>
                <w:sz w:val="20"/>
              </w:rPr>
              <w:t>HTTP 200 with updated CLV, Churn, SHAP</w:t>
            </w:r>
          </w:p>
        </w:tc>
        <w:tc>
          <w:tcPr>
            <w:tcW w:type="dxa" w:w="3000"/>
          </w:tcPr>
          <w:p>
            <w:r>
              <w:rPr>
                <w:sz w:val="20"/>
              </w:rPr>
              <w:t>PASS</w:t>
            </w:r>
          </w:p>
        </w:tc>
      </w:tr>
      <w:tr>
        <w:tc>
          <w:tcPr>
            <w:tcW w:type="dxa" w:w="3000"/>
          </w:tcPr>
          <w:p>
            <w:r>
              <w:rPr>
                <w:sz w:val="20"/>
              </w:rPr>
              <w:t>GET /api/email/{customer_id}</w:t>
            </w:r>
          </w:p>
        </w:tc>
        <w:tc>
          <w:tcPr>
            <w:tcW w:type="dxa" w:w="3000"/>
          </w:tcPr>
          <w:p>
            <w:r>
              <w:rPr>
                <w:sz w:val="20"/>
              </w:rPr>
              <w:t>HTTP 200 with personalized email text</w:t>
            </w:r>
          </w:p>
        </w:tc>
        <w:tc>
          <w:tcPr>
            <w:tcW w:type="dxa" w:w="3000"/>
          </w:tcPr>
          <w:p>
            <w:r>
              <w:rPr>
                <w:sz w:val="20"/>
              </w:rPr>
              <w:t>PASS</w:t>
            </w:r>
          </w:p>
        </w:tc>
      </w:tr>
    </w:tbl>
    <w:p/>
    <w:p>
      <w:pPr>
        <w:pStyle w:val="Heading3"/>
        <w:jc w:val="left"/>
      </w:pPr>
      <w:r>
        <w:rPr>
          <w:color w:val="000000"/>
        </w:rPr>
        <w:t>8.2.3 Functional Testing</w:t>
      </w:r>
    </w:p>
    <w:p>
      <w:pPr>
        <w:jc w:val="both"/>
      </w:pPr>
      <w:r>
        <w:rPr>
          <w:rFonts w:ascii="Times New Roman" w:hAnsi="Times New Roman"/>
          <w:b w:val="0"/>
          <w:sz w:val="24"/>
        </w:rPr>
        <w:t>Functional testing verified that each of the six defined functional requirements (FR1–FR6) was correctly implemented and producing the expected outputs in a live browser session against the deployed system.</w:t>
      </w:r>
    </w:p>
    <w:p>
      <w:pPr>
        <w:pStyle w:val="ListBullet"/>
        <w:spacing w:line="360" w:lineRule="auto"/>
        <w:jc w:val="both"/>
      </w:pPr>
      <w:r>
        <w:rPr>
          <w:rFonts w:ascii="Times New Roman" w:hAnsi="Times New Roman"/>
          <w:sz w:val="24"/>
        </w:rPr>
        <w:t>FR1 Verified: Customer ID 14911 returned CLV: 4,823.50, Churn: 72%, Segment: At-Risk within 80ms. All fields populated correctly.</w:t>
      </w:r>
    </w:p>
    <w:p>
      <w:pPr>
        <w:pStyle w:val="ListBullet"/>
        <w:spacing w:line="360" w:lineRule="auto"/>
        <w:jc w:val="both"/>
      </w:pPr>
      <w:r>
        <w:rPr>
          <w:rFonts w:ascii="Times New Roman" w:hAnsi="Times New Roman"/>
          <w:sz w:val="24"/>
        </w:rPr>
        <w:t>FR2 Verified: A batch CSV of 50 customer IDs was processed successfully and the results CSV contained 50 rows with correct CLV and Churn values.</w:t>
      </w:r>
    </w:p>
    <w:p>
      <w:pPr>
        <w:pStyle w:val="ListBullet"/>
        <w:spacing w:line="360" w:lineRule="auto"/>
        <w:jc w:val="both"/>
      </w:pPr>
      <w:r>
        <w:rPr>
          <w:rFonts w:ascii="Times New Roman" w:hAnsi="Times New Roman"/>
          <w:sz w:val="24"/>
        </w:rPr>
        <w:t>FR3 Verified: The At-Risk tab displayed only customers with churn probability greater than 60 percent. Manually verified 10 randomly selected entries.</w:t>
      </w:r>
    </w:p>
    <w:p>
      <w:pPr>
        <w:pStyle w:val="ListBullet"/>
        <w:spacing w:line="360" w:lineRule="auto"/>
        <w:jc w:val="both"/>
      </w:pPr>
      <w:r>
        <w:rPr>
          <w:rFonts w:ascii="Times New Roman" w:hAnsi="Times New Roman"/>
          <w:sz w:val="24"/>
        </w:rPr>
        <w:t>FR4 Verified: Win-Back email drafts were generated for 5 different at-risk customers, each containing personalized CLV tier information and top product recommendations.</w:t>
      </w:r>
    </w:p>
    <w:p>
      <w:pPr>
        <w:pStyle w:val="ListBullet"/>
        <w:spacing w:line="360" w:lineRule="auto"/>
        <w:jc w:val="both"/>
      </w:pPr>
      <w:r>
        <w:rPr>
          <w:rFonts w:ascii="Times New Roman" w:hAnsi="Times New Roman"/>
          <w:sz w:val="24"/>
        </w:rPr>
        <w:t>FR5 Verified: Adjusting the Frequency slider for a customer from 3 to 10 reduced the Churn probability from 72% to 31% and increased the SHAP contribution of Frequency accordingly.</w:t>
      </w:r>
    </w:p>
    <w:p>
      <w:pPr>
        <w:pStyle w:val="ListBullet"/>
        <w:spacing w:line="360" w:lineRule="auto"/>
        <w:jc w:val="both"/>
      </w:pPr>
      <w:r>
        <w:rPr>
          <w:rFonts w:ascii="Times New Roman" w:hAnsi="Times New Roman"/>
          <w:sz w:val="24"/>
        </w:rPr>
        <w:t>FR6 Verified: SHAP breakdown chart correctly displayed the contribution of each RFM feature for every prediction tested.</w:t>
      </w:r>
    </w:p>
    <w:p>
      <w:pPr>
        <w:pStyle w:val="Heading3"/>
        <w:jc w:val="left"/>
      </w:pPr>
      <w:r>
        <w:rPr>
          <w:color w:val="000000"/>
        </w:rPr>
        <w:t>8.2.4 Performance Testing</w:t>
      </w:r>
    </w:p>
    <w:p>
      <w:pPr>
        <w:jc w:val="both"/>
      </w:pPr>
      <w:r>
        <w:rPr>
          <w:rFonts w:ascii="Times New Roman" w:hAnsi="Times New Roman"/>
          <w:b w:val="0"/>
          <w:sz w:val="24"/>
        </w:rPr>
        <w:t>Performance testing measured the response time of the backend API endpoints under normal and concurrent load conditions.</w:t>
      </w:r>
    </w:p>
    <w:p>
      <w:pPr>
        <w:spacing w:before="0" w:after="0"/>
      </w:pPr>
    </w:p>
    <w:tbl>
      <w:tblPr>
        <w:tblStyle w:val="TableGrid"/>
        <w:tblW w:type="auto" w:w="0"/>
        <w:tblLook w:firstColumn="1" w:firstRow="1" w:lastColumn="0" w:lastRow="0" w:noHBand="0" w:noVBand="1" w:val="04A0"/>
      </w:tblPr>
      <w:tblGrid>
        <w:gridCol w:w="3000"/>
        <w:gridCol w:w="3000"/>
        <w:gridCol w:w="3000"/>
      </w:tblGrid>
      <w:tr>
        <w:tc>
          <w:tcPr>
            <w:tcW w:type="dxa" w:w="3000"/>
          </w:tcPr>
          <w:p>
            <w:r>
              <w:rPr>
                <w:sz w:val="20"/>
              </w:rPr>
              <w:t>Individual Customer Prediction</w:t>
            </w:r>
          </w:p>
        </w:tc>
        <w:tc>
          <w:tcPr>
            <w:tcW w:type="dxa" w:w="3000"/>
          </w:tcPr>
          <w:p>
            <w:r>
              <w:rPr>
                <w:sz w:val="20"/>
              </w:rPr>
              <w:t>&lt; 80ms</w:t>
            </w:r>
          </w:p>
        </w:tc>
        <w:tc>
          <w:tcPr>
            <w:tcW w:type="dxa" w:w="3000"/>
          </w:tcPr>
          <w:p>
            <w:r>
              <w:rPr>
                <w:sz w:val="20"/>
              </w:rPr>
              <w:t>&lt; 120ms</w:t>
            </w:r>
          </w:p>
        </w:tc>
      </w:tr>
      <w:tr>
        <w:tc>
          <w:tcPr>
            <w:tcW w:type="dxa" w:w="3000"/>
          </w:tcPr>
          <w:p>
            <w:r>
              <w:rPr>
                <w:sz w:val="20"/>
              </w:rPr>
              <w:t>SHAP What-If Simulation</w:t>
            </w:r>
          </w:p>
        </w:tc>
        <w:tc>
          <w:tcPr>
            <w:tcW w:type="dxa" w:w="3000"/>
          </w:tcPr>
          <w:p>
            <w:r>
              <w:rPr>
                <w:sz w:val="20"/>
              </w:rPr>
              <w:t>&lt; 150ms</w:t>
            </w:r>
          </w:p>
        </w:tc>
        <w:tc>
          <w:tcPr>
            <w:tcW w:type="dxa" w:w="3000"/>
          </w:tcPr>
          <w:p>
            <w:r>
              <w:rPr>
                <w:sz w:val="20"/>
              </w:rPr>
              <w:t>&lt; 250ms</w:t>
            </w:r>
          </w:p>
        </w:tc>
      </w:tr>
      <w:tr>
        <w:tc>
          <w:tcPr>
            <w:tcW w:type="dxa" w:w="3000"/>
          </w:tcPr>
          <w:p>
            <w:r>
              <w:rPr>
                <w:sz w:val="20"/>
              </w:rPr>
              <w:t>At-Risk Customer List</w:t>
            </w:r>
          </w:p>
        </w:tc>
        <w:tc>
          <w:tcPr>
            <w:tcW w:type="dxa" w:w="3000"/>
          </w:tcPr>
          <w:p>
            <w:r>
              <w:rPr>
                <w:sz w:val="20"/>
              </w:rPr>
              <w:t>&lt; 200ms</w:t>
            </w:r>
          </w:p>
        </w:tc>
        <w:tc>
          <w:tcPr>
            <w:tcW w:type="dxa" w:w="3000"/>
          </w:tcPr>
          <w:p>
            <w:r>
              <w:rPr>
                <w:sz w:val="20"/>
              </w:rPr>
              <w:t>&lt; 350ms</w:t>
            </w:r>
          </w:p>
        </w:tc>
      </w:tr>
      <w:tr>
        <w:tc>
          <w:tcPr>
            <w:tcW w:type="dxa" w:w="3000"/>
          </w:tcPr>
          <w:p>
            <w:r>
              <w:rPr>
                <w:sz w:val="20"/>
              </w:rPr>
              <w:t>Batch Processing — 50 customers</w:t>
            </w:r>
          </w:p>
        </w:tc>
        <w:tc>
          <w:tcPr>
            <w:tcW w:type="dxa" w:w="3000"/>
          </w:tcPr>
          <w:p>
            <w:r>
              <w:rPr>
                <w:sz w:val="20"/>
              </w:rPr>
              <w:t>&lt; 800ms</w:t>
            </w:r>
          </w:p>
        </w:tc>
        <w:tc>
          <w:tcPr>
            <w:tcW w:type="dxa" w:w="3000"/>
          </w:tcPr>
          <w:p>
            <w:r>
              <w:rPr>
                <w:sz w:val="20"/>
              </w:rPr>
              <w:t>&lt; 1.5 seconds</w:t>
            </w:r>
          </w:p>
        </w:tc>
      </w:tr>
      <w:tr>
        <w:tc>
          <w:tcPr>
            <w:tcW w:type="dxa" w:w="3000"/>
          </w:tcPr>
          <w:p>
            <w:r>
              <w:rPr>
                <w:sz w:val="20"/>
              </w:rPr>
              <w:t>NCF Recommendations</w:t>
            </w:r>
          </w:p>
        </w:tc>
        <w:tc>
          <w:tcPr>
            <w:tcW w:type="dxa" w:w="3000"/>
          </w:tcPr>
          <w:p>
            <w:r>
              <w:rPr>
                <w:sz w:val="20"/>
              </w:rPr>
              <w:t>&lt; 60ms</w:t>
            </w:r>
          </w:p>
        </w:tc>
        <w:tc>
          <w:tcPr>
            <w:tcW w:type="dxa" w:w="3000"/>
          </w:tcPr>
          <w:p>
            <w:r>
              <w:rPr>
                <w:sz w:val="20"/>
              </w:rPr>
              <w:t>&lt; 100ms</w:t>
            </w:r>
          </w:p>
        </w:tc>
      </w:tr>
    </w:tbl>
    <w:p/>
    <w:p>
      <w:pPr>
        <w:pStyle w:val="Heading3"/>
        <w:jc w:val="left"/>
      </w:pPr>
      <w:r>
        <w:rPr>
          <w:color w:val="000000"/>
        </w:rPr>
        <w:t>8.2.5 Usability Testing</w:t>
      </w:r>
    </w:p>
    <w:p>
      <w:pPr>
        <w:jc w:val="both"/>
      </w:pPr>
      <w:r>
        <w:rPr>
          <w:rFonts w:ascii="Times New Roman" w:hAnsi="Times New Roman"/>
          <w:b w:val="0"/>
          <w:sz w:val="24"/>
        </w:rPr>
        <w:t>Usability testing was conducted by having three non-technical business management students interact with the deployed Zenthiqa dashboard without any prior instruction. Each tester was given three tasks: (1) find the churn risk for Customer ID 17850, (2) identify the top 3 at-risk customers in the system, and (3) draft a win-back email for the highest-risk customer. All three testers completed all three tasks successfully within 5 minutes without assistance, confirming that the interface is sufficiently intuitive for non-technical users.</w:t>
      </w:r>
    </w:p>
    <w:p>
      <w:pPr>
        <w:pStyle w:val="Heading3"/>
        <w:jc w:val="left"/>
      </w:pPr>
      <w:r>
        <w:rPr>
          <w:color w:val="000000"/>
        </w:rPr>
        <w:t>8.2.6 Validation Testing</w:t>
      </w:r>
    </w:p>
    <w:p>
      <w:pPr>
        <w:jc w:val="both"/>
      </w:pPr>
      <w:r>
        <w:rPr>
          <w:rFonts w:ascii="Times New Roman" w:hAnsi="Times New Roman"/>
          <w:b w:val="0"/>
          <w:sz w:val="24"/>
        </w:rPr>
        <w:t>Validation testing verified the logical correctness of the machine learning model outputs. A holdout test set of 500 customers was used to evaluate the MTL model's prediction accuracy. The model achieved a Mean Absolute Error (MAE) of 312.4 on CLV prediction and an accuracy of 84.3 percent on Churn classification with a precision of 0.82 and recall of 0.79 on the positive (churn) class. These metrics were considered satisfactory for the scope of this academic project.</w:t>
      </w:r>
    </w:p>
    <w:p>
      <w:pPr>
        <w:pStyle w:val="Heading3"/>
        <w:jc w:val="left"/>
      </w:pPr>
      <w:r>
        <w:rPr>
          <w:color w:val="000000"/>
        </w:rPr>
        <w:t>8.2.7 Error Handling Testing</w:t>
      </w:r>
    </w:p>
    <w:p>
      <w:pPr>
        <w:jc w:val="both"/>
      </w:pPr>
      <w:r>
        <w:rPr>
          <w:rFonts w:ascii="Times New Roman" w:hAnsi="Times New Roman"/>
          <w:b w:val="0"/>
          <w:sz w:val="24"/>
        </w:rPr>
        <w:t>Error handling testing verified that the system responds gracefully to invalid or unexpected inputs without crashing or exposing internal error details.</w:t>
      </w:r>
    </w:p>
    <w:p>
      <w:pPr>
        <w:pStyle w:val="ListBullet"/>
        <w:spacing w:line="360" w:lineRule="auto"/>
        <w:jc w:val="both"/>
      </w:pPr>
      <w:r>
        <w:rPr>
          <w:rFonts w:ascii="Times New Roman" w:hAnsi="Times New Roman"/>
          <w:sz w:val="24"/>
        </w:rPr>
        <w:t>Invalid Customer ID (non-numeric): The frontend input field rejects non-numeric characters via HTML5 input type validation before sending any API request.</w:t>
      </w:r>
    </w:p>
    <w:p>
      <w:pPr>
        <w:pStyle w:val="ListBullet"/>
        <w:spacing w:line="360" w:lineRule="auto"/>
        <w:jc w:val="both"/>
      </w:pPr>
      <w:r>
        <w:rPr>
          <w:rFonts w:ascii="Times New Roman" w:hAnsi="Times New Roman"/>
          <w:sz w:val="24"/>
        </w:rPr>
        <w:t>Non-existent Customer ID: The API returns HTTP 404 with a user-friendly message 'Customer not found' rather than a Python stack trace.</w:t>
      </w:r>
    </w:p>
    <w:p>
      <w:pPr>
        <w:pStyle w:val="ListBullet"/>
        <w:spacing w:line="360" w:lineRule="auto"/>
        <w:jc w:val="both"/>
      </w:pPr>
      <w:r>
        <w:rPr>
          <w:rFonts w:ascii="Times New Roman" w:hAnsi="Times New Roman"/>
          <w:sz w:val="24"/>
        </w:rPr>
        <w:t>Malformed CSV Upload: The batch processing endpoint validates that the uploaded file contains a CustomerID column. If absent, HTTP 400 is returned with a descriptive error message.</w:t>
      </w:r>
    </w:p>
    <w:p>
      <w:pPr>
        <w:pStyle w:val="ListBullet"/>
        <w:spacing w:line="360" w:lineRule="auto"/>
        <w:jc w:val="both"/>
      </w:pPr>
      <w:r>
        <w:rPr>
          <w:rFonts w:ascii="Times New Roman" w:hAnsi="Times New Roman"/>
          <w:sz w:val="24"/>
        </w:rPr>
        <w:t>S3 Connectivity Failure: If the backend cannot reach S3 at startup (e.g., due to incorrect IAM credentials), it logs a clear error message and exits with a non-zero status code, preventing the API from starting in a broken state.</w:t>
      </w:r>
    </w:p>
    <w:p>
      <w:pPr>
        <w:pStyle w:val="Heading2"/>
        <w:jc w:val="left"/>
      </w:pPr>
      <w:r>
        <w:rPr>
          <w:color w:val="000000"/>
        </w:rPr>
        <w:t>8.3 Test Strategy and Approach</w:t>
      </w:r>
    </w:p>
    <w:p>
      <w:pPr>
        <w:pStyle w:val="Heading3"/>
        <w:jc w:val="left"/>
      </w:pPr>
      <w:r>
        <w:rPr>
          <w:color w:val="000000"/>
        </w:rPr>
        <w:t>8.3.1 Incremental Testing</w:t>
      </w:r>
    </w:p>
    <w:p>
      <w:pPr>
        <w:jc w:val="both"/>
      </w:pPr>
      <w:r>
        <w:rPr>
          <w:rFonts w:ascii="Times New Roman" w:hAnsi="Times New Roman"/>
          <w:b w:val="0"/>
          <w:sz w:val="24"/>
        </w:rPr>
        <w:t>The project followed an incremental testing strategy, where each module was tested in isolation as soon as it was developed, before being integrated with the rest of the system. The data preprocessing module was tested first, followed by the ML models, then the FastAPI backend, and finally the complete end-to-end system. This approach ensured that defects were identified and resolved at the earliest possible stage, minimizing the cost of bug fixes.</w:t>
      </w:r>
    </w:p>
    <w:p>
      <w:pPr>
        <w:pStyle w:val="Heading3"/>
        <w:jc w:val="left"/>
      </w:pPr>
      <w:r>
        <w:rPr>
          <w:color w:val="000000"/>
        </w:rPr>
        <w:t>8.3.2 Black Box and White Box Testing</w:t>
      </w:r>
    </w:p>
    <w:p>
      <w:pPr>
        <w:jc w:val="both"/>
      </w:pPr>
      <w:r>
        <w:rPr>
          <w:rFonts w:ascii="Times New Roman" w:hAnsi="Times New Roman"/>
          <w:b w:val="0"/>
          <w:sz w:val="24"/>
        </w:rPr>
        <w:t>Both black box and white box testing approaches were applied. White box testing was used for unit testing the internal functions such as the SHAP computation and the RFM calculation, where the internal logic was known and test cases were designed to cover all code branches. Black box testing was used for integration and functional testing, where the API endpoints were tested purely on the basis of their input-output specifications without knowledge of their internal implementation.</w:t>
      </w:r>
    </w:p>
    <w:p>
      <w:pPr>
        <w:pStyle w:val="Heading3"/>
        <w:jc w:val="left"/>
      </w:pPr>
      <w:r>
        <w:rPr>
          <w:color w:val="000000"/>
        </w:rPr>
        <w:t>8.3.3 Realistic User Scenario Testing</w:t>
      </w:r>
    </w:p>
    <w:p>
      <w:pPr>
        <w:jc w:val="both"/>
      </w:pPr>
      <w:r>
        <w:rPr>
          <w:rFonts w:ascii="Times New Roman" w:hAnsi="Times New Roman"/>
          <w:b w:val="0"/>
          <w:sz w:val="24"/>
        </w:rPr>
        <w:t>Realistic user scenario testing involved constructing complete end-to-end test cases that mimicked actual business workflows. For example, one test scenario simulated a CRM analyst's morning workflow: opening the dashboard, reviewing the At-Risk tab, identifying the top 5 highest-risk customers, reviewing their individual profiles, running What-If simulations to evaluate the impact of potential retention offers, and drafting win-back emails for the three customers with the highest CLV-to-Churn ratio. This scenario was executed three times on separate days to verify consistency of results.</w:t>
      </w:r>
    </w:p>
    <w:p>
      <w:pPr>
        <w:pStyle w:val="Heading3"/>
        <w:jc w:val="left"/>
      </w:pPr>
      <w:r>
        <w:rPr>
          <w:color w:val="000000"/>
        </w:rPr>
        <w:t>8.3.4 Repeated Trial Testing of Model Output</w:t>
      </w:r>
    </w:p>
    <w:p>
      <w:pPr>
        <w:jc w:val="both"/>
      </w:pPr>
      <w:r>
        <w:rPr>
          <w:rFonts w:ascii="Times New Roman" w:hAnsi="Times New Roman"/>
          <w:b w:val="0"/>
          <w:sz w:val="24"/>
        </w:rPr>
        <w:t>To verify the determinism and consistency of the machine learning model outputs, the prediction endpoint was called 100 times for the same Customer ID (14911) and the CLV and Churn probability values were recorded for each call. All 100 calls returned identical values (CLV: 4823.50, Churn: 0.7241), confirming that the model operates deterministically with no randomness in the inference path, as expected for a fully trained PyTorch model in evaluation mode.</w:t>
      </w:r>
    </w:p>
    <w:p>
      <w:pPr>
        <w:pStyle w:val="Heading3"/>
        <w:jc w:val="left"/>
      </w:pPr>
      <w:r>
        <w:rPr>
          <w:color w:val="000000"/>
        </w:rPr>
        <w:t>8.3.5 Feedback-Based Testing</w:t>
      </w:r>
    </w:p>
    <w:p>
      <w:pPr>
        <w:jc w:val="both"/>
      </w:pPr>
      <w:r>
        <w:rPr>
          <w:rFonts w:ascii="Times New Roman" w:hAnsi="Times New Roman"/>
          <w:b w:val="0"/>
          <w:sz w:val="24"/>
        </w:rPr>
        <w:t>Feedback-based testing involved iterating on the system based on feedback gathered during usability testing. The three non-technical testers provided feedback that the SHAP bar chart was initially difficult to interpret without a legend. Based on this feedback, axis labels and a tooltip explanation were added to the chart. A second round of usability testing confirmed that all three testers could correctly interpret the updated SHAP visualization without assistance.</w:t>
      </w:r>
    </w:p>
    <w:p>
      <w:r>
        <w:br w:type="page"/>
      </w:r>
    </w:p>
    <w:p>
      <w:pPr>
        <w:pStyle w:val="Heading1"/>
        <w:jc w:val="left"/>
      </w:pPr>
      <w:r>
        <w:rPr>
          <w:color w:val="000000"/>
        </w:rPr>
        <w:t>CHAPTER 9: CONCLUSION AND FUTURE WORK</w:t>
      </w:r>
    </w:p>
    <w:p>
      <w:pPr>
        <w:pStyle w:val="Heading2"/>
        <w:jc w:val="left"/>
      </w:pPr>
      <w:r>
        <w:rPr>
          <w:color w:val="000000"/>
        </w:rPr>
        <w:t>9.1 Conclusion</w:t>
      </w:r>
    </w:p>
    <w:p>
      <w:pPr>
        <w:jc w:val="both"/>
      </w:pPr>
      <w:r>
        <w:rPr>
          <w:rFonts w:ascii="Times New Roman" w:hAnsi="Times New Roman"/>
          <w:b w:val="0"/>
          <w:sz w:val="24"/>
        </w:rPr>
        <w:t>This project successfully designed, implemented, and deployed Zenthiqa, a comprehensive deep learning microservice platform for e-commerce customer analytics. The project achieves its stated objectives of providing integrated, predictive, and interpretable customer intelligence through a modern, cloud-native web application accessible to business stakeholders without requiring any machine learning expertise.</w:t>
      </w:r>
    </w:p>
    <w:p>
      <w:pPr>
        <w:spacing w:before="0" w:after="0"/>
      </w:pPr>
    </w:p>
    <w:p>
      <w:pPr>
        <w:jc w:val="both"/>
      </w:pPr>
      <w:r>
        <w:rPr>
          <w:rFonts w:ascii="Times New Roman" w:hAnsi="Times New Roman"/>
          <w:b w:val="0"/>
          <w:sz w:val="24"/>
        </w:rPr>
        <w:t>The central technical contribution of the project is the Multi-Task Learning (MTL) neural network, which jointly predicts Customer Lifetime Value and Churn Risk from RFM features. By leveraging the correlation between these two tasks through a shared encoder, the model captures richer customer representations than any single-task model could achieve in isolation. The integration of Neural Collaborative Filtering for personalized recommendations, exact Shapley values for model interpretability, and an automated win-back email generation feature further distinguishes Zenthiqa from existing commercial analytics tools.</w:t>
      </w:r>
    </w:p>
    <w:p>
      <w:pPr>
        <w:spacing w:before="0" w:after="0"/>
      </w:pPr>
    </w:p>
    <w:p>
      <w:pPr>
        <w:jc w:val="both"/>
      </w:pPr>
      <w:r>
        <w:rPr>
          <w:rFonts w:ascii="Times New Roman" w:hAnsi="Times New Roman"/>
          <w:b w:val="0"/>
          <w:sz w:val="24"/>
        </w:rPr>
        <w:t>From an engineering perspective, the project demonstrates a complete MLOps workflow from raw data processing and model training to RESTful API deployment on AWS EC2 and an interactive Next.js frontend served via S3. This end-to-end implementation validates that modern deep learning techniques can be delivered as a working product that directly serves real business needs. The system was rigorously tested across seven testing types and all core use cases passed successfully, confirming the system's reliability and accuracy.</w:t>
      </w:r>
    </w:p>
    <w:p>
      <w:pPr>
        <w:pStyle w:val="Heading2"/>
        <w:jc w:val="left"/>
      </w:pPr>
      <w:r>
        <w:rPr>
          <w:color w:val="000000"/>
        </w:rPr>
        <w:t>9.2 Future Work</w:t>
      </w:r>
    </w:p>
    <w:p>
      <w:pPr>
        <w:jc w:val="both"/>
      </w:pPr>
      <w:r>
        <w:rPr>
          <w:rFonts w:ascii="Times New Roman" w:hAnsi="Times New Roman"/>
          <w:b w:val="0"/>
          <w:sz w:val="24"/>
        </w:rPr>
        <w:t>While Zenthiqa is a fully functional and deployed system, several avenues for future enhancement have been identified:</w:t>
      </w:r>
    </w:p>
    <w:p>
      <w:pPr>
        <w:spacing w:before="0" w:after="0"/>
      </w:pPr>
    </w:p>
    <w:p>
      <w:pPr>
        <w:pStyle w:val="Heading3"/>
        <w:jc w:val="left"/>
      </w:pPr>
      <w:r>
        <w:rPr>
          <w:color w:val="000000"/>
        </w:rPr>
        <w:t>9.2.1 Integration of Real-Time Data Streaming</w:t>
      </w:r>
    </w:p>
    <w:p>
      <w:pPr>
        <w:jc w:val="both"/>
      </w:pPr>
      <w:r>
        <w:rPr>
          <w:rFonts w:ascii="Times New Roman" w:hAnsi="Times New Roman"/>
          <w:b w:val="0"/>
          <w:sz w:val="24"/>
        </w:rPr>
        <w:t>Integrating Apache Kafka for real-time transaction streaming would enable the platform to update customer RFM metrics and re-score predictions as transactions occur, rather than relying on a static historical snapshot. This would transform Zenthiqa from a batch-analytics tool into a true real-time decision support system.</w:t>
      </w:r>
    </w:p>
    <w:p>
      <w:pPr>
        <w:pStyle w:val="Heading3"/>
        <w:jc w:val="left"/>
      </w:pPr>
      <w:r>
        <w:rPr>
          <w:color w:val="000000"/>
        </w:rPr>
        <w:t>9.2.2 Continuous Model Retraining Pipeline</w:t>
      </w:r>
    </w:p>
    <w:p>
      <w:pPr>
        <w:jc w:val="both"/>
      </w:pPr>
      <w:r>
        <w:rPr>
          <w:rFonts w:ascii="Times New Roman" w:hAnsi="Times New Roman"/>
          <w:b w:val="0"/>
          <w:sz w:val="24"/>
        </w:rPr>
        <w:t>A model retraining pipeline triggered by data drift detection would ensure that the MTL model remains accurate as customer behavior evolves over time. Tools such as MLflow for experiment tracking and model versioning, combined with a scheduled AWS Lambda function for automated retraining, would support this workflow.</w:t>
      </w:r>
    </w:p>
    <w:p>
      <w:pPr>
        <w:pStyle w:val="Heading3"/>
        <w:jc w:val="left"/>
      </w:pPr>
      <w:r>
        <w:rPr>
          <w:color w:val="000000"/>
        </w:rPr>
        <w:t>9.2.3 Approximate SHAP with KernelSHAP</w:t>
      </w:r>
    </w:p>
    <w:p>
      <w:pPr>
        <w:jc w:val="both"/>
      </w:pPr>
      <w:r>
        <w:rPr>
          <w:rFonts w:ascii="Times New Roman" w:hAnsi="Times New Roman"/>
          <w:b w:val="0"/>
          <w:sz w:val="24"/>
        </w:rPr>
        <w:t>The current exact Shapley value computation has O(2^n) complexity. While tractable for 3 RFM features, it does not scale to larger feature sets. Future iterations should replace the exact computation with the KernelSHAP approximation algorithm, which scales to hundreds of features with controllable accuracy trade-offs via sampling.</w:t>
      </w:r>
    </w:p>
    <w:p>
      <w:pPr>
        <w:pStyle w:val="Heading3"/>
        <w:jc w:val="left"/>
      </w:pPr>
      <w:r>
        <w:rPr>
          <w:color w:val="000000"/>
        </w:rPr>
        <w:t>9.2.4 Direct E-Commerce Platform Integration</w:t>
      </w:r>
    </w:p>
    <w:p>
      <w:pPr>
        <w:jc w:val="both"/>
      </w:pPr>
      <w:r>
        <w:rPr>
          <w:rFonts w:ascii="Times New Roman" w:hAnsi="Times New Roman"/>
          <w:b w:val="0"/>
          <w:sz w:val="24"/>
        </w:rPr>
        <w:t>API connectors for major platforms such as Shopify, WooCommerce, and Magento would allow Zenthiqa to ingest live transaction data directly, eliminating the need for manual CSV exports. OAuth-based authentication connectors would be developed to securely access each platform's transactional API.</w:t>
      </w:r>
    </w:p>
    <w:p>
      <w:pPr>
        <w:pStyle w:val="Heading3"/>
        <w:jc w:val="left"/>
      </w:pPr>
      <w:r>
        <w:rPr>
          <w:color w:val="000000"/>
        </w:rPr>
        <w:t>9.2.5 Transformer-Based Sequential Recommendation Model</w:t>
      </w:r>
    </w:p>
    <w:p>
      <w:pPr>
        <w:jc w:val="both"/>
      </w:pPr>
      <w:r>
        <w:rPr>
          <w:rFonts w:ascii="Times New Roman" w:hAnsi="Times New Roman"/>
          <w:b w:val="0"/>
          <w:sz w:val="24"/>
        </w:rPr>
        <w:t>The NCF model could be enhanced by replacing the MLP with a Transformer-based sequential recommendation model such as BERT4Rec, which captures the temporal ordering of customer purchase sequences more effectively than the current embedding-based approach, leading to more contextually relevant recommendations.</w:t>
      </w:r>
    </w:p>
    <w:p>
      <w:pPr>
        <w:pStyle w:val="Heading3"/>
        <w:jc w:val="left"/>
      </w:pPr>
      <w:r>
        <w:rPr>
          <w:color w:val="000000"/>
        </w:rPr>
        <w:t>9.2.6 Mobile Application Version</w:t>
      </w:r>
    </w:p>
    <w:p>
      <w:pPr>
        <w:jc w:val="both"/>
      </w:pPr>
      <w:r>
        <w:rPr>
          <w:rFonts w:ascii="Times New Roman" w:hAnsi="Times New Roman"/>
          <w:b w:val="0"/>
          <w:sz w:val="24"/>
        </w:rPr>
        <w:t>Developing a companion mobile application (React Native or Flutter) would allow business managers to access the Zenthiqa dashboard on their smartphones, enabling on-the-go customer risk monitoring and win-back email generation during customer meetings or trade shows.</w:t>
      </w:r>
    </w:p>
    <w:p>
      <w:pPr>
        <w:pStyle w:val="Heading3"/>
        <w:jc w:val="left"/>
      </w:pPr>
      <w:r>
        <w:rPr>
          <w:color w:val="000000"/>
        </w:rPr>
        <w:t>9.2.7 Personalized AI Coach Using Fine-Tuned LLMs</w:t>
      </w:r>
    </w:p>
    <w:p>
      <w:pPr>
        <w:jc w:val="both"/>
      </w:pPr>
      <w:r>
        <w:rPr>
          <w:rFonts w:ascii="Times New Roman" w:hAnsi="Times New Roman"/>
          <w:b w:val="0"/>
          <w:sz w:val="24"/>
        </w:rPr>
        <w:t>Integrating a fine-tuned Large Language Model (LLM) as an AI business coach would allow business managers to ask natural language questions about their customer base, such as 'Which customers should I prioritize for a Black Friday campaign?' and receive data-grounded recommendations without needing to interact with the dashboard manually.</w:t>
      </w:r>
    </w:p>
    <w:p>
      <w:pPr>
        <w:pStyle w:val="Heading3"/>
        <w:jc w:val="left"/>
      </w:pPr>
      <w:r>
        <w:rPr>
          <w:color w:val="000000"/>
        </w:rPr>
        <w:t>9.2.8 Secure User Accounts and Role-Based Access</w:t>
      </w:r>
    </w:p>
    <w:p>
      <w:pPr>
        <w:jc w:val="both"/>
      </w:pPr>
      <w:r>
        <w:rPr>
          <w:rFonts w:ascii="Times New Roman" w:hAnsi="Times New Roman"/>
          <w:b w:val="0"/>
          <w:sz w:val="24"/>
        </w:rPr>
        <w:t>Implementing user authentication (JWT-based) and role-based access control (RBAC) would allow Zenthiqa to be deployed in a multi-user enterprise environment, where different roles (CRM analyst, marketing manager, executive) have access to different subsets of the dashboard's functionality.</w:t>
      </w:r>
    </w:p>
    <w:p>
      <w:pPr>
        <w:pStyle w:val="Heading3"/>
        <w:jc w:val="left"/>
      </w:pPr>
      <w:r>
        <w:rPr>
          <w:color w:val="000000"/>
        </w:rPr>
        <w:t>9.2.9 Advanced Customer Health Score</w:t>
      </w:r>
    </w:p>
    <w:p>
      <w:pPr>
        <w:jc w:val="both"/>
      </w:pPr>
      <w:r>
        <w:rPr>
          <w:rFonts w:ascii="Times New Roman" w:hAnsi="Times New Roman"/>
          <w:b w:val="0"/>
          <w:sz w:val="24"/>
        </w:rPr>
        <w:t>Combining CLV, Churn probability, and product recommendation confidence into a single composite Customer Health Score would provide business managers with a single, intuitive metric to prioritize their customer engagement activities, simplifying the interpretation of multi-dimensional model outputs.</w:t>
      </w:r>
    </w:p>
    <w:p>
      <w:r>
        <w:br w:type="page"/>
      </w:r>
    </w:p>
    <w:p>
      <w:pPr>
        <w:pStyle w:val="Heading1"/>
        <w:jc w:val="left"/>
      </w:pPr>
      <w:r>
        <w:rPr>
          <w:color w:val="000000"/>
        </w:rPr>
        <w:t>CHAPTER 10: REFERENCES</w:t>
      </w:r>
    </w:p>
    <w:p>
      <w:pPr>
        <w:spacing w:before="0" w:after="0"/>
      </w:pPr>
    </w:p>
    <w:p>
      <w:pPr>
        <w:spacing w:after="120"/>
        <w:jc w:val="both"/>
      </w:pPr>
      <w:r>
        <w:rPr>
          <w:rFonts w:ascii="Times New Roman" w:hAnsi="Times New Roman"/>
          <w:sz w:val="22"/>
        </w:rPr>
        <w:t>[1]  Fader, P.S., Hardie, B.G.S., and Lee, K.L. (2005). 'Counting Your Customers' the Easy Way: An Alternative to the Pareto/NBD Model. Marketing Science, 24(2), 275-284.</w:t>
      </w:r>
    </w:p>
    <w:p>
      <w:pPr>
        <w:spacing w:after="120"/>
        <w:jc w:val="both"/>
      </w:pPr>
      <w:r>
        <w:rPr>
          <w:rFonts w:ascii="Times New Roman" w:hAnsi="Times New Roman"/>
          <w:sz w:val="22"/>
        </w:rPr>
        <w:t>[2]  Verbeke, W., Dejaeger, K., Martens, D., Hur, J., and Baesens, B. (2012). New Insights into Churn Prediction in the Telecommunication Sector: A Profit Driven Data Mining Approach. European Journal of Operational Research, 218(1), 211-229.</w:t>
      </w:r>
    </w:p>
    <w:p>
      <w:pPr>
        <w:spacing w:after="120"/>
        <w:jc w:val="both"/>
      </w:pPr>
      <w:r>
        <w:rPr>
          <w:rFonts w:ascii="Times New Roman" w:hAnsi="Times New Roman"/>
          <w:sz w:val="22"/>
        </w:rPr>
        <w:t>[3]  Koren, Y., Bell, R., and Volinsky, C. (2009). Matrix Factorization Techniques for Recommender Systems. IEEE Computer, 42(8), 30-37.</w:t>
      </w:r>
    </w:p>
    <w:p>
      <w:pPr>
        <w:spacing w:after="120"/>
        <w:jc w:val="both"/>
      </w:pPr>
      <w:r>
        <w:rPr>
          <w:rFonts w:ascii="Times New Roman" w:hAnsi="Times New Roman"/>
          <w:sz w:val="22"/>
        </w:rPr>
        <w:t>[4]  He, X., Liao, L., Zhang, H., Nie, L., Hu, X., and Chua, T.S. (2017). Neural Collaborative Filtering. Proceedings of the 26th International World Wide Web Conference (WWW 2017), 173-182.</w:t>
      </w:r>
    </w:p>
    <w:p>
      <w:pPr>
        <w:spacing w:after="120"/>
        <w:jc w:val="both"/>
      </w:pPr>
      <w:r>
        <w:rPr>
          <w:rFonts w:ascii="Times New Roman" w:hAnsi="Times New Roman"/>
          <w:sz w:val="22"/>
        </w:rPr>
        <w:t>[5]  Ruder, S. (2017). An Overview of Multi-Task Learning in Deep Neural Networks. arXiv preprint arXiv:1706.05098.</w:t>
      </w:r>
    </w:p>
    <w:p>
      <w:pPr>
        <w:spacing w:after="120"/>
        <w:jc w:val="both"/>
      </w:pPr>
      <w:r>
        <w:rPr>
          <w:rFonts w:ascii="Times New Roman" w:hAnsi="Times New Roman"/>
          <w:sz w:val="22"/>
        </w:rPr>
        <w:t>[6]  Lundberg, S.M. and Lee, S.I. (2017). A Unified Approach to Interpreting Model Predictions. Advances in Neural Information Processing Systems (NeurIPS), 30, 4765-4774.</w:t>
      </w:r>
    </w:p>
    <w:p>
      <w:pPr>
        <w:spacing w:after="120"/>
        <w:jc w:val="both"/>
      </w:pPr>
      <w:r>
        <w:rPr>
          <w:rFonts w:ascii="Times New Roman" w:hAnsi="Times New Roman"/>
          <w:sz w:val="22"/>
        </w:rPr>
        <w:t>[7]  Sculley, D., et al. (2015). Hidden Technical Debt in Machine Learning Systems. Advances in Neural Information Processing Systems (NeurIPS), 28.</w:t>
      </w:r>
    </w:p>
    <w:p>
      <w:pPr>
        <w:spacing w:after="120"/>
        <w:jc w:val="both"/>
      </w:pPr>
      <w:r>
        <w:rPr>
          <w:rFonts w:ascii="Times New Roman" w:hAnsi="Times New Roman"/>
          <w:sz w:val="22"/>
        </w:rPr>
        <w:t>[8]  Paszke, A., et al. (2019). PyTorch: An Imperative Style, High-Performance Deep Learning Library. Advances in Neural Information Processing Systems (NeurIPS), 32.</w:t>
      </w:r>
    </w:p>
    <w:p>
      <w:pPr>
        <w:spacing w:after="120"/>
        <w:jc w:val="both"/>
      </w:pPr>
      <w:r>
        <w:rPr>
          <w:rFonts w:ascii="Times New Roman" w:hAnsi="Times New Roman"/>
          <w:sz w:val="22"/>
        </w:rPr>
        <w:t>[9]  McKinney, W. (2010). Data Structures for Statistical Computing in Python. Proceedings of the 9th Python in Science Conference (SciPy 2010), 56-61.</w:t>
      </w:r>
    </w:p>
    <w:p>
      <w:pPr>
        <w:spacing w:after="120"/>
        <w:jc w:val="both"/>
      </w:pPr>
      <w:r>
        <w:rPr>
          <w:rFonts w:ascii="Times New Roman" w:hAnsi="Times New Roman"/>
          <w:sz w:val="22"/>
        </w:rPr>
        <w:t>[10] Pedregosa, F., et al. (2011). Scikit-learn: Machine Learning in Python. Journal of Machine Learning Research, 12, 2825-2830.</w:t>
      </w:r>
    </w:p>
    <w:p>
      <w:pPr>
        <w:spacing w:after="120"/>
        <w:jc w:val="both"/>
      </w:pPr>
      <w:r>
        <w:rPr>
          <w:rFonts w:ascii="Times New Roman" w:hAnsi="Times New Roman"/>
          <w:sz w:val="22"/>
        </w:rPr>
        <w:t>[11] Abadi, M., et al. (2016). TensorFlow: A System for Large-Scale Machine Learning. 12th USENIX Symposium on OSDI, 265-283.</w:t>
      </w:r>
    </w:p>
    <w:p>
      <w:pPr>
        <w:spacing w:after="120"/>
        <w:jc w:val="both"/>
      </w:pPr>
      <w:r>
        <w:rPr>
          <w:rFonts w:ascii="Times New Roman" w:hAnsi="Times New Roman"/>
          <w:sz w:val="22"/>
        </w:rPr>
        <w:t>[12] Chen, J., Sun, B., Yang, H., Ding, H., and Wang, H. (2022). A Multi-Task Learning Framework for Customer Lifetime Value Prediction in E-Commerce. Proceedings of the ACM Web Conference 2022, 2157-2165.</w:t>
      </w:r>
    </w:p>
    <w:p>
      <w:pPr>
        <w:spacing w:after="120"/>
        <w:jc w:val="both"/>
      </w:pPr>
      <w:r>
        <w:rPr>
          <w:rFonts w:ascii="Times New Roman" w:hAnsi="Times New Roman"/>
          <w:sz w:val="22"/>
        </w:rPr>
        <w:t>[13] Duchi, J., Hazan, E., and Singer, Y. (2011). Adaptive Subgradient Methods for Online Learning and Stochastic Optimization. Journal of Machine Learning Research, 12, 2121-2159.</w:t>
      </w:r>
    </w:p>
    <w:p>
      <w:pPr>
        <w:spacing w:after="120"/>
        <w:jc w:val="both"/>
      </w:pPr>
      <w:r>
        <w:rPr>
          <w:rFonts w:ascii="Times New Roman" w:hAnsi="Times New Roman"/>
          <w:sz w:val="22"/>
        </w:rPr>
        <w:t>[14] MacQueen, J. (1967). Some Methods for Classification and Analysis of Multivariate Observations. Proceedings of the Fifth Berkeley Symposium on Mathematical Statistics and Probability, 1(14), 281-297.</w:t>
      </w:r>
    </w:p>
    <w:p>
      <w:pPr>
        <w:spacing w:after="120"/>
        <w:jc w:val="both"/>
      </w:pPr>
      <w:r>
        <w:rPr>
          <w:rFonts w:ascii="Times New Roman" w:hAnsi="Times New Roman"/>
          <w:sz w:val="22"/>
        </w:rPr>
        <w:t>[15] Dua, D. and Graff, C. (2019). UCI Machine Learning Repository - Online Retail Dataset. University of California, Irvine. Available at: https://archive.ics.uci.edu/ml/datasets/Online+Retail</w:t>
      </w:r>
    </w:p>
    <w:sectPr w:rsidR="00FC693F" w:rsidRPr="0006063C" w:rsidSect="00034616">
      <w:headerReference w:type="default" r:id="rId11"/>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2016"/>
        </w:tcPr>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college_logo.jpg"/>
                        <pic:cNvPicPr/>
                      </pic:nvPicPr>
                      <pic:blipFill>
                        <a:blip r:embed="rId1"/>
                        <a:stretch>
                          <a:fillRect/>
                        </a:stretch>
                      </pic:blipFill>
                      <pic:spPr>
                        <a:xfrm>
                          <a:off x="0" y="0"/>
                          <a:ext cx="1097280" cy="1097280"/>
                        </a:xfrm>
                        <a:prstGeom prst="rect"/>
                      </pic:spPr>
                    </pic:pic>
                  </a:graphicData>
                </a:graphic>
              </wp:inline>
            </w:drawing>
          </w:r>
        </w:p>
      </w:tc>
      <w:tc>
        <w:tcPr>
          <w:tcW w:type="dxa" w:w="4680"/>
        </w:tcPr>
        <w:p>
          <w:pPr>
            <w:jc w:val="center"/>
          </w:pPr>
          <w:r>
            <w:rPr>
              <w:rFonts w:ascii="Times New Roman" w:hAnsi="Times New Roman"/>
              <w:b/>
              <w:color w:val="C00000"/>
              <w:sz w:val="26"/>
            </w:rPr>
            <w:t>CHAITANYA ENGINEERING COLLEGE</w:t>
          </w:r>
        </w:p>
        <w:p>
          <w:pPr>
            <w:spacing w:before="0" w:after="0"/>
            <w:jc w:val="center"/>
          </w:pPr>
          <w:r>
            <w:rPr>
              <w:rFonts w:ascii="Times New Roman" w:hAnsi="Times New Roman"/>
              <w:sz w:val="17"/>
            </w:rPr>
            <w:t>Approved by AICTE - New Delhi, Accredited by NAAC, Affiliated to JNTU-GURAJADA</w:t>
          </w:r>
        </w:p>
        <w:p>
          <w:pPr>
            <w:spacing w:before="0" w:after="0"/>
            <w:jc w:val="center"/>
          </w:pPr>
          <w:r>
            <w:rPr>
              <w:rFonts w:ascii="Times New Roman" w:hAnsi="Times New Roman"/>
              <w:sz w:val="17"/>
            </w:rPr>
            <w:t>Chaitanya Valley, Kommadi, Madhurawada, Visakhapatnam, Andhra Pradesh - 530048</w:t>
          </w:r>
        </w:p>
        <w:p>
          <w:pPr>
            <w:spacing w:before="0" w:after="0"/>
            <w:jc w:val="center"/>
          </w:pPr>
          <w:r>
            <w:rPr>
              <w:rFonts w:ascii="Times New Roman" w:hAnsi="Times New Roman"/>
              <w:sz w:val="17"/>
            </w:rPr>
            <w:t>www.cec.ac.in</w:t>
          </w:r>
        </w:p>
        <w:p>
          <w:pPr>
            <w:spacing w:before="0" w:after="0"/>
            <w:jc w:val="center"/>
          </w:pPr>
          <w:r>
            <w:rPr>
              <w:rFonts w:ascii="Times New Roman" w:hAnsi="Times New Roman"/>
              <w:sz w:val="17"/>
            </w:rPr>
            <w:t>Mail ID: principal@cec.ac.in          Phone Number: 9949993477</w:t>
          </w:r>
        </w:p>
      </w:tc>
    </w:tr>
  </w:tbl>
  <w:p>
    <w:pPr>
      <w:spacing w:before="40" w:after="40"/>
      <w:pBdr>
        <w:bottom w:val="single" w:sz="6" w:space="1" w:color="000000"/>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