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3864" w:val="clear"/>
            <w:tcMar>
              <w:top w:type="dxa" w:w="300"/>
              <w:left w:type="dxa" w:w="240"/>
              <w:bottom w:type="dxa" w:w="300"/>
              <w:right w:type="dxa" w:w="240"/>
            </w:tcMar>
          </w:tcPr>
          <w:p>
            <w:pPr>
              <w:jc w:val="center"/>
            </w:pPr>
            <w:r>
              <w:rPr>
                <w:rFonts w:ascii="Arial" w:cs="Arial" w:eastAsia="Arial" w:hAnsi="Arial"/>
                <w:b/>
                <w:bCs/>
                <w:color w:val="FFFFFF"/>
                <w:sz w:val="40"/>
                <w:szCs w:val="40"/>
              </w:rPr>
              <w:t xml:space="preserve">SOC PRACTITIONER TRAINING</w:t>
            </w:r>
          </w:p>
          <w:p>
            <w:pPr>
              <w:spacing w:before="80"/>
              <w:jc w:val="center"/>
            </w:pPr>
            <w:r>
              <w:rPr>
                <w:rFonts w:ascii="Arial" w:cs="Arial" w:eastAsia="Arial" w:hAnsi="Arial"/>
                <w:color w:val="CCDDFF"/>
                <w:sz w:val="24"/>
                <w:szCs w:val="24"/>
              </w:rPr>
              <w:t xml:space="preserve">Complete Incident Response &amp; Alert Management Report</w:t>
            </w:r>
          </w:p>
          <w:p>
            <w:pPr>
              <w:spacing w:before="60"/>
              <w:jc w:val="center"/>
            </w:pPr>
            <w:r>
              <w:rPr>
                <w:rFonts w:ascii="Arial" w:cs="Arial" w:eastAsia="Arial" w:hAnsi="Arial"/>
                <w:color w:val="AABBDD"/>
                <w:sz w:val="20"/>
                <w:szCs w:val="20"/>
              </w:rPr>
              <w:t xml:space="preserve">August 18, 2025  |  Analyst: SOC Analyst Tier-1</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tcPr>
          <w:p>
            <w:r>
              <w:rPr>
                <w:rFonts w:ascii="Arial" w:cs="Arial" w:eastAsia="Arial" w:hAnsi="Arial"/>
                <w:b/>
                <w:bCs/>
                <w:color w:val="FFFFFF"/>
                <w:sz w:val="26"/>
                <w:szCs w:val="26"/>
              </w:rPr>
              <w:t xml:space="preserve">1.  Alert Management Practice</w:t>
            </w:r>
          </w:p>
        </w:tc>
      </w:tr>
    </w:tbl>
    <w:p>
      <w:pPr>
        <w:spacing w:after="160"/>
      </w:pPr>
    </w:p>
    <w:p>
      <w:pPr>
        <w:pStyle w:val="Heading2"/>
      </w:pPr>
      <w:r>
        <w:rPr>
          <w:rFonts w:ascii="Arial" w:cs="Arial" w:eastAsia="Arial" w:hAnsi="Arial"/>
          <w:b/>
          <w:bCs/>
          <w:color w:val="1F3864"/>
          <w:sz w:val="24"/>
          <w:szCs w:val="24"/>
        </w:rPr>
        <w:t xml:space="preserve">1.1  Alert Classification System — MITRE ATT&amp;CK Mapping</w:t>
      </w:r>
    </w:p>
    <w:p>
      <w:pPr>
        <w:spacing w:after="120"/>
      </w:pPr>
      <w:r>
        <w:rPr>
          <w:rFonts w:ascii="Arial" w:cs="Arial" w:eastAsia="Arial" w:hAnsi="Arial"/>
          <w:sz w:val="20"/>
          <w:szCs w:val="20"/>
        </w:rPr>
        <w:t xml:space="preserve">The table below presents the alert classification system with MITRE ATT&amp;CK technique mapping and CVSS-based priority levels.</w:t>
      </w:r>
    </w:p>
    <w:p>
      <w:pPr>
        <w:spacing w:after="80"/>
      </w:pPr>
    </w:p>
    <w:tbl>
      <w:tblPr>
        <w:tblW w:type="dxa" w:w="7800"/>
        <w:tblBorders>
          <w:top w:val="single" w:color="auto" w:sz="4"/>
          <w:left w:val="single" w:color="auto" w:sz="4"/>
          <w:bottom w:val="single" w:color="auto" w:sz="4"/>
          <w:right w:val="single" w:color="auto" w:sz="4"/>
          <w:insideH w:val="single" w:color="auto" w:sz="4"/>
          <w:insideV w:val="single" w:color="auto" w:sz="4"/>
        </w:tblBorders>
      </w:tblPr>
      <w:tblGrid>
        <w:gridCol w:w="800"/>
        <w:gridCol w:w="1400"/>
        <w:gridCol w:w="2800"/>
        <w:gridCol w:w="1000"/>
        <w:gridCol w:w="1000"/>
        <w:gridCol w:w="800"/>
      </w:tblGrid>
      <w:tr>
        <w:tc>
          <w:tcPr>
            <w:tcW w:type="dxa" w:w="8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Alert ID</w:t>
            </w:r>
          </w:p>
        </w:tc>
        <w:tc>
          <w:tcPr>
            <w:tcW w:type="dxa" w:w="14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Alert Type</w:t>
            </w:r>
          </w:p>
        </w:tc>
        <w:tc>
          <w:tcPr>
            <w:tcW w:type="dxa" w:w="28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Description</w:t>
            </w:r>
          </w:p>
        </w:tc>
        <w:tc>
          <w:tcPr>
            <w:tcW w:type="dxa" w:w="10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Priority</w:t>
            </w:r>
          </w:p>
        </w:tc>
        <w:tc>
          <w:tcPr>
            <w:tcW w:type="dxa" w:w="10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MITRE</w:t>
            </w:r>
          </w:p>
        </w:tc>
        <w:tc>
          <w:tcPr>
            <w:tcW w:type="dxa" w:w="8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CVSS</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001</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Phishing</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Suspicious link in email</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High</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T1566</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7.8</w:t>
            </w:r>
          </w:p>
        </w:tc>
      </w:tr>
      <w:tr>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002</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Brute Force</w:t>
            </w:r>
          </w:p>
        </w:tc>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Multiple SSH login attempts</w:t>
            </w:r>
          </w:p>
        </w:tc>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Medium</w:t>
            </w:r>
          </w:p>
        </w:tc>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T1110</w:t>
            </w:r>
          </w:p>
        </w:tc>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6.5</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003</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Ransomware</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Suspicious encryption process</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Critical</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T1486</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9.8</w:t>
            </w:r>
          </w:p>
        </w:tc>
      </w:tr>
      <w:tr>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004</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Port Scan</w:t>
            </w:r>
          </w:p>
        </w:tc>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Multiple ports scanned</w:t>
            </w:r>
          </w:p>
        </w:tc>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Low</w:t>
            </w:r>
          </w:p>
        </w:tc>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T1046</w:t>
            </w:r>
          </w:p>
        </w:tc>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3.7</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005</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Log4Shell</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Suspicious JNDI request</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Critical</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T1190</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9.8</w:t>
            </w:r>
          </w:p>
        </w:tc>
      </w:tr>
      <w:tr>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006</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Port Scan</w:t>
            </w:r>
          </w:p>
        </w:tc>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Nmap scan detected on subnet</w:t>
            </w:r>
          </w:p>
        </w:tc>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Low</w:t>
            </w:r>
          </w:p>
        </w:tc>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T1046</w:t>
            </w:r>
          </w:p>
        </w:tc>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3.7</w:t>
            </w:r>
          </w:p>
        </w:tc>
      </w:tr>
    </w:tbl>
    <w:p>
      <w:pPr>
        <w:spacing w:after="160"/>
      </w:pPr>
    </w:p>
    <w:p>
      <w:pPr>
        <w:pStyle w:val="Heading2"/>
      </w:pPr>
      <w:r>
        <w:rPr>
          <w:rFonts w:ascii="Arial" w:cs="Arial" w:eastAsia="Arial" w:hAnsi="Arial"/>
          <w:b/>
          <w:bCs/>
          <w:color w:val="1F3864"/>
          <w:sz w:val="24"/>
          <w:szCs w:val="24"/>
        </w:rPr>
        <w:t xml:space="preserve">1.2  CVSS Priority Logic</w:t>
      </w:r>
    </w:p>
    <w:p>
      <w:pPr>
        <w:pStyle w:val="ListParagraph"/>
        <w:numPr>
          <w:ilvl w:val="0"/>
          <w:numId w:val="2"/>
        </w:numPr>
        <w:spacing w:after="80"/>
      </w:pPr>
      <w:r>
        <w:rPr>
          <w:rFonts w:ascii="Arial" w:cs="Arial" w:eastAsia="Arial" w:hAnsi="Arial"/>
          <w:sz w:val="20"/>
          <w:szCs w:val="20"/>
        </w:rPr>
        <w:t xml:space="preserve">9.0 – 10.0 = Critical</w:t>
      </w:r>
    </w:p>
    <w:p>
      <w:pPr>
        <w:pStyle w:val="ListParagraph"/>
        <w:numPr>
          <w:ilvl w:val="0"/>
          <w:numId w:val="2"/>
        </w:numPr>
        <w:spacing w:after="80"/>
      </w:pPr>
      <w:r>
        <w:rPr>
          <w:rFonts w:ascii="Arial" w:cs="Arial" w:eastAsia="Arial" w:hAnsi="Arial"/>
          <w:sz w:val="20"/>
          <w:szCs w:val="20"/>
        </w:rPr>
        <w:t xml:space="preserve">7.0 – 8.9  = High</w:t>
      </w:r>
    </w:p>
    <w:p>
      <w:pPr>
        <w:pStyle w:val="ListParagraph"/>
        <w:numPr>
          <w:ilvl w:val="0"/>
          <w:numId w:val="2"/>
        </w:numPr>
        <w:spacing w:after="80"/>
      </w:pPr>
      <w:r>
        <w:rPr>
          <w:rFonts w:ascii="Arial" w:cs="Arial" w:eastAsia="Arial" w:hAnsi="Arial"/>
          <w:sz w:val="20"/>
          <w:szCs w:val="20"/>
        </w:rPr>
        <w:t xml:space="preserve">4.0 – 6.9  = Medium</w:t>
      </w:r>
    </w:p>
    <w:p>
      <w:pPr>
        <w:pStyle w:val="ListParagraph"/>
        <w:numPr>
          <w:ilvl w:val="0"/>
          <w:numId w:val="2"/>
        </w:numPr>
        <w:spacing w:after="80"/>
      </w:pPr>
      <w:r>
        <w:rPr>
          <w:rFonts w:ascii="Arial" w:cs="Arial" w:eastAsia="Arial" w:hAnsi="Arial"/>
          <w:sz w:val="20"/>
          <w:szCs w:val="20"/>
        </w:rPr>
        <w:t xml:space="preserve">0.0 – 3.9  = Low</w:t>
      </w:r>
    </w:p>
    <w:p>
      <w:pPr>
        <w:spacing w:after="160"/>
      </w:pPr>
    </w:p>
    <w:p>
      <w:pPr>
        <w:pStyle w:val="Heading2"/>
      </w:pPr>
      <w:r>
        <w:rPr>
          <w:rFonts w:ascii="Arial" w:cs="Arial" w:eastAsia="Arial" w:hAnsi="Arial"/>
          <w:b/>
          <w:bCs/>
          <w:color w:val="1F3864"/>
          <w:sz w:val="24"/>
          <w:szCs w:val="24"/>
        </w:rPr>
        <w:t xml:space="preserve">1.3  Wazuh Dashboard — Alert Priority Distribution</w:t>
      </w:r>
    </w:p>
    <w:tbl>
      <w:tblPr>
        <w:tblW w:type="dxa" w:w="660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2400"/>
      </w:tblGrid>
      <w:tr>
        <w:tc>
          <w:tcPr>
            <w:tcW w:type="dxa" w:w="2400"/>
            <w:tcBorders>
              <w:top w:val="single" w:color="CCCCCC" w:sz="1"/>
              <w:left w:val="single" w:color="CCCCCC" w:sz="1"/>
              <w:bottom w:val="single" w:color="CCCCCC" w:sz="1"/>
              <w:right w:val="single" w:color="CCCCCC" w:sz="1"/>
            </w:tcBorders>
            <w:shd w:fill="2E4057"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Alert Priority</w:t>
            </w:r>
          </w:p>
        </w:tc>
        <w:tc>
          <w:tcPr>
            <w:tcW w:type="dxa" w:w="1800"/>
            <w:tcBorders>
              <w:top w:val="single" w:color="CCCCCC" w:sz="1"/>
              <w:left w:val="single" w:color="CCCCCC" w:sz="1"/>
              <w:bottom w:val="single" w:color="CCCCCC" w:sz="1"/>
              <w:right w:val="single" w:color="CCCCCC" w:sz="1"/>
            </w:tcBorders>
            <w:shd w:fill="2E4057"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Count</w:t>
            </w:r>
          </w:p>
        </w:tc>
        <w:tc>
          <w:tcPr>
            <w:tcW w:type="dxa" w:w="2400"/>
            <w:tcBorders>
              <w:top w:val="single" w:color="CCCCCC" w:sz="1"/>
              <w:left w:val="single" w:color="CCCCCC" w:sz="1"/>
              <w:bottom w:val="single" w:color="CCCCCC" w:sz="1"/>
              <w:right w:val="single" w:color="CCCCCC" w:sz="1"/>
            </w:tcBorders>
            <w:shd w:fill="2E4057"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 of Total</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Critical</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3</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11.5%</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High</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5</w:t>
            </w:r>
          </w:p>
        </w:tc>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19.2%</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Medium</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10</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38.5%</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Low</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8</w:t>
            </w:r>
          </w:p>
        </w:tc>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30.8%</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TOTAL</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26</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100%</w:t>
            </w:r>
          </w:p>
        </w:tc>
      </w:tr>
    </w:tbl>
    <w:p>
      <w:pPr>
        <w:spacing w:after="160"/>
      </w:pPr>
    </w:p>
    <w:p>
      <w:pPr>
        <w:pStyle w:val="Heading2"/>
      </w:pPr>
      <w:r>
        <w:rPr>
          <w:rFonts w:ascii="Arial" w:cs="Arial" w:eastAsia="Arial" w:hAnsi="Arial"/>
          <w:b/>
          <w:bCs/>
          <w:color w:val="1F3864"/>
          <w:sz w:val="24"/>
          <w:szCs w:val="24"/>
        </w:rPr>
        <w:t xml:space="preserve">1.4  TheHive Incident Ticket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19"/>
                <w:szCs w:val="19"/>
              </w:rPr>
              <w:t xml:space="preserve">Title</w:t>
            </w:r>
          </w:p>
        </w:tc>
        <w:tc>
          <w:tcPr>
            <w:tcW w:type="dxa" w:w="736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r>
              <w:rPr>
                <w:rFonts w:ascii="Arial" w:cs="Arial" w:eastAsia="Arial" w:hAnsi="Arial"/>
                <w:sz w:val="19"/>
                <w:szCs w:val="19"/>
              </w:rPr>
              <w:t xml:space="preserve">[Critical] Ransomware Detected on Server-X</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19"/>
                <w:szCs w:val="19"/>
              </w:rPr>
              <w:t xml:space="preserve">Priority</w:t>
            </w:r>
          </w:p>
        </w:tc>
        <w:tc>
          <w:tcPr>
            <w:tcW w:type="dxa" w:w="736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r>
              <w:rPr>
                <w:rFonts w:ascii="Arial" w:cs="Arial" w:eastAsia="Arial" w:hAnsi="Arial"/>
                <w:sz w:val="19"/>
                <w:szCs w:val="19"/>
              </w:rPr>
              <w:t xml:space="preserve">Critical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19"/>
                <w:szCs w:val="19"/>
              </w:rPr>
              <w:t xml:space="preserve">Source IP</w:t>
            </w:r>
          </w:p>
        </w:tc>
        <w:tc>
          <w:tcPr>
            <w:tcW w:type="dxa" w:w="736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r>
              <w:rPr>
                <w:rFonts w:ascii="Arial" w:cs="Arial" w:eastAsia="Arial" w:hAnsi="Arial"/>
                <w:sz w:val="19"/>
                <w:szCs w:val="19"/>
              </w:rPr>
              <w:t xml:space="preserve">192.168.1.50</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19"/>
                <w:szCs w:val="19"/>
              </w:rPr>
              <w:t xml:space="preserve">File Hash</w:t>
            </w:r>
          </w:p>
        </w:tc>
        <w:tc>
          <w:tcPr>
            <w:tcW w:type="dxa" w:w="736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r>
              <w:rPr>
                <w:rFonts w:ascii="Arial" w:cs="Arial" w:eastAsia="Arial" w:hAnsi="Arial"/>
                <w:sz w:val="19"/>
                <w:szCs w:val="19"/>
              </w:rPr>
              <w:t xml:space="preserve">ab34cde9123...</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c>
          <w:tcPr>
            <w:tcW w:type="dxa" w:w="736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r>
              <w:rPr>
                <w:rFonts w:ascii="Arial" w:cs="Arial" w:eastAsia="Arial" w:hAnsi="Arial"/>
                <w:sz w:val="19"/>
                <w:szCs w:val="19"/>
              </w:rPr>
              <w:t xml:space="preserve">Suspicious executable: crypto_locker.exe. Abnormal file encryption and mass file modifications observed.</w:t>
            </w:r>
          </w:p>
        </w:tc>
      </w:tr>
    </w:tbl>
    <w:p>
      <w:pPr>
        <w:spacing w:after="160"/>
      </w:pPr>
    </w:p>
    <w:p>
      <w:pPr>
        <w:pStyle w:val="Heading2"/>
      </w:pPr>
      <w:r>
        <w:rPr>
          <w:rFonts w:ascii="Arial" w:cs="Arial" w:eastAsia="Arial" w:hAnsi="Arial"/>
          <w:b/>
          <w:bCs/>
          <w:color w:val="1F3864"/>
          <w:sz w:val="24"/>
          <w:szCs w:val="24"/>
        </w:rPr>
        <w:t xml:space="preserve">1.5  Escalation Email — Tier-1 to Tier-2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140"/>
              <w:left w:type="dxa" w:w="200"/>
              <w:bottom w:type="dxa" w:w="140"/>
              <w:right w:type="dxa" w:w="200"/>
            </w:tcMar>
          </w:tcPr>
          <w:p>
            <w:pPr>
              <w:spacing w:after="120"/>
            </w:pPr>
            <w:r>
              <w:rPr>
                <w:rFonts w:ascii="Arial" w:cs="Arial" w:eastAsia="Arial" w:hAnsi="Arial"/>
                <w:sz w:val="20"/>
                <w:szCs w:val="20"/>
              </w:rPr>
              <w:t xml:space="preserve">Subject: Escalation – Critical Ransomware Alert on Server-X
A critical security alert has been detected on Server-X indicating potential ransomware activity. The Wazuh SIEM identified execution of a suspicious file named crypto_locker.exe originating from IP address 192.168.1.50. Initial triage confirms abnormal file encryption behaviour and multiple file modifications within a short time frame. The affected endpoint has been isolated. Please investigate further for malware persistence and lateral movement. All collected artifacts are attached in the case ticket.</w:t>
            </w:r>
          </w:p>
        </w:tc>
      </w:tr>
    </w:tbl>
    <w:p>
      <w:pPr>
        <w:spacing w:after="16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tcPr>
          <w:p>
            <w:r>
              <w:rPr>
                <w:rFonts w:ascii="Arial" w:cs="Arial" w:eastAsia="Arial" w:hAnsi="Arial"/>
                <w:b/>
                <w:bCs/>
                <w:color w:val="FFFFFF"/>
                <w:sz w:val="26"/>
                <w:szCs w:val="26"/>
              </w:rPr>
              <w:t xml:space="preserve">2.  Response Documentation</w:t>
            </w:r>
          </w:p>
        </w:tc>
      </w:tr>
    </w:tbl>
    <w:p>
      <w:pPr>
        <w:spacing w:after="160"/>
      </w:pPr>
    </w:p>
    <w:p>
      <w:pPr>
        <w:pStyle w:val="Heading2"/>
      </w:pPr>
      <w:r>
        <w:rPr>
          <w:rFonts w:ascii="Arial" w:cs="Arial" w:eastAsia="Arial" w:hAnsi="Arial"/>
          <w:b/>
          <w:bCs/>
          <w:color w:val="1F3864"/>
          <w:sz w:val="24"/>
          <w:szCs w:val="24"/>
        </w:rPr>
        <w:t xml:space="preserve">Executive Summary</w:t>
      </w:r>
    </w:p>
    <w:p>
      <w:pPr>
        <w:spacing w:after="120"/>
      </w:pPr>
      <w:r>
        <w:rPr>
          <w:rFonts w:ascii="Arial" w:cs="Arial" w:eastAsia="Arial" w:hAnsi="Arial"/>
          <w:sz w:val="20"/>
          <w:szCs w:val="20"/>
        </w:rPr>
        <w:t xml:space="preserve">On August 18, 2025, a phishing email targeting employees was detected. The email contained a malicious link attempting credential harvesting. Three employees received the email; no credentials were successfully compromised. The domain was blocked within 10 minutes of detection.</w:t>
      </w:r>
    </w:p>
    <w:p>
      <w:pPr>
        <w:spacing w:after="160"/>
      </w:pPr>
    </w:p>
    <w:p>
      <w:pPr>
        <w:pStyle w:val="Heading2"/>
      </w:pPr>
      <w:r>
        <w:rPr>
          <w:rFonts w:ascii="Arial" w:cs="Arial" w:eastAsia="Arial" w:hAnsi="Arial"/>
          <w:b/>
          <w:bCs/>
          <w:color w:val="1F3864"/>
          <w:sz w:val="24"/>
          <w:szCs w:val="24"/>
        </w:rPr>
        <w:t xml:space="preserve">Incident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Timestamp (UTC)</w:t>
            </w:r>
          </w:p>
        </w:tc>
        <w:tc>
          <w:tcPr>
            <w:tcW w:type="dxa" w:w="656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Event</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2025-08-18 14:00</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Phishing email delivered to 3 employee mailboxes</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2025-08-18 14:05</w:t>
            </w:r>
          </w:p>
        </w:tc>
        <w:tc>
          <w:tcPr>
            <w:tcW w:type="dxa" w:w="65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Wazuh SIEM alert generated — suspicious link detected</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2025-08-18 14:10</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Email blocked; sender domain added to blocklist</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2025-08-18 14:20</w:t>
            </w:r>
          </w:p>
        </w:tc>
        <w:tc>
          <w:tcPr>
            <w:tcW w:type="dxa" w:w="65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Affected users notified; password reset advised</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2025-08-18 14:30</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IOCs submitted to VirusTotal and AlienVault OTX</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2025-08-18 15:00</w:t>
            </w:r>
          </w:p>
        </w:tc>
        <w:tc>
          <w:tcPr>
            <w:tcW w:type="dxa" w:w="65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Incident closed — no compromise confirmed</w:t>
            </w:r>
          </w:p>
        </w:tc>
      </w:tr>
    </w:tbl>
    <w:p>
      <w:pPr>
        <w:spacing w:after="160"/>
      </w:pPr>
    </w:p>
    <w:p>
      <w:pPr>
        <w:pStyle w:val="Heading2"/>
      </w:pPr>
      <w:r>
        <w:rPr>
          <w:rFonts w:ascii="Arial" w:cs="Arial" w:eastAsia="Arial" w:hAnsi="Arial"/>
          <w:b/>
          <w:bCs/>
          <w:color w:val="1F3864"/>
          <w:sz w:val="24"/>
          <w:szCs w:val="24"/>
        </w:rPr>
        <w:t xml:space="preserve">Impact Analysis</w:t>
      </w:r>
    </w:p>
    <w:p>
      <w:pPr>
        <w:spacing w:after="120"/>
      </w:pPr>
      <w:r>
        <w:rPr>
          <w:rFonts w:ascii="Arial" w:cs="Arial" w:eastAsia="Arial" w:hAnsi="Arial"/>
          <w:sz w:val="20"/>
          <w:szCs w:val="20"/>
        </w:rPr>
        <w:t xml:space="preserve">Three employees received the phishing email. No credentials were compromised. No malware was downloaded or executed. The malicious domain was blocked before any users clicked the embedded link.</w:t>
      </w:r>
    </w:p>
    <w:p>
      <w:pPr>
        <w:spacing w:after="160"/>
      </w:pPr>
    </w:p>
    <w:p>
      <w:pPr>
        <w:pStyle w:val="Heading2"/>
      </w:pPr>
      <w:r>
        <w:rPr>
          <w:rFonts w:ascii="Arial" w:cs="Arial" w:eastAsia="Arial" w:hAnsi="Arial"/>
          <w:b/>
          <w:bCs/>
          <w:color w:val="1F3864"/>
          <w:sz w:val="24"/>
          <w:szCs w:val="24"/>
        </w:rPr>
        <w:t xml:space="preserve">Remediation Steps</w:t>
      </w:r>
    </w:p>
    <w:p>
      <w:pPr>
        <w:pStyle w:val="ListParagraph"/>
        <w:numPr>
          <w:ilvl w:val="0"/>
          <w:numId w:val="2"/>
        </w:numPr>
        <w:spacing w:after="80"/>
      </w:pPr>
      <w:r>
        <w:rPr>
          <w:rFonts w:ascii="Arial" w:cs="Arial" w:eastAsia="Arial" w:hAnsi="Arial"/>
          <w:sz w:val="20"/>
          <w:szCs w:val="20"/>
        </w:rPr>
        <w:t xml:space="preserve">Block sender domain at email gateway</w:t>
      </w:r>
    </w:p>
    <w:p>
      <w:pPr>
        <w:pStyle w:val="ListParagraph"/>
        <w:numPr>
          <w:ilvl w:val="0"/>
          <w:numId w:val="2"/>
        </w:numPr>
        <w:spacing w:after="80"/>
      </w:pPr>
      <w:r>
        <w:rPr>
          <w:rFonts w:ascii="Arial" w:cs="Arial" w:eastAsia="Arial" w:hAnsi="Arial"/>
          <w:sz w:val="20"/>
          <w:szCs w:val="20"/>
        </w:rPr>
        <w:t xml:space="preserve">Reset credentials for all affected user accounts</w:t>
      </w:r>
    </w:p>
    <w:p>
      <w:pPr>
        <w:pStyle w:val="ListParagraph"/>
        <w:numPr>
          <w:ilvl w:val="0"/>
          <w:numId w:val="2"/>
        </w:numPr>
        <w:spacing w:after="80"/>
      </w:pPr>
      <w:r>
        <w:rPr>
          <w:rFonts w:ascii="Arial" w:cs="Arial" w:eastAsia="Arial" w:hAnsi="Arial"/>
          <w:sz w:val="20"/>
          <w:szCs w:val="20"/>
        </w:rPr>
        <w:t xml:space="preserve">Update email filtering rules to detect similar patterns</w:t>
      </w:r>
    </w:p>
    <w:p>
      <w:pPr>
        <w:pStyle w:val="ListParagraph"/>
        <w:numPr>
          <w:ilvl w:val="0"/>
          <w:numId w:val="2"/>
        </w:numPr>
        <w:spacing w:after="80"/>
      </w:pPr>
      <w:r>
        <w:rPr>
          <w:rFonts w:ascii="Arial" w:cs="Arial" w:eastAsia="Arial" w:hAnsi="Arial"/>
          <w:sz w:val="20"/>
          <w:szCs w:val="20"/>
        </w:rPr>
        <w:t xml:space="preserve">Submit IOCs (domain, link, sender IP) to threat intelligence platforms</w:t>
      </w:r>
    </w:p>
    <w:p>
      <w:pPr>
        <w:spacing w:after="160"/>
      </w:pPr>
    </w:p>
    <w:p>
      <w:pPr>
        <w:pStyle w:val="Heading2"/>
      </w:pPr>
      <w:r>
        <w:rPr>
          <w:rFonts w:ascii="Arial" w:cs="Arial" w:eastAsia="Arial" w:hAnsi="Arial"/>
          <w:b/>
          <w:bCs/>
          <w:color w:val="1F3864"/>
          <w:sz w:val="24"/>
          <w:szCs w:val="24"/>
        </w:rPr>
        <w:t xml:space="preserve">Investigation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Timestamp</w:t>
            </w:r>
          </w:p>
        </w:tc>
        <w:tc>
          <w:tcPr>
            <w:tcW w:type="dxa" w:w="656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Action Taken</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2025-08-18 14:00</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Phishing email flagged; endpoint isolated as precaution</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2025-08-18 14:30</w:t>
            </w:r>
          </w:p>
        </w:tc>
        <w:tc>
          <w:tcPr>
            <w:tcW w:type="dxa" w:w="65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Memory dump collected from potentially affected workstation</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2025-08-18 15:00</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Network logs reviewed — no C2 traffic identified</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2025-08-18 15:30</w:t>
            </w:r>
          </w:p>
        </w:tc>
        <w:tc>
          <w:tcPr>
            <w:tcW w:type="dxa" w:w="65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IOC report finalised and submitted to Tier-2</w:t>
            </w:r>
          </w:p>
        </w:tc>
      </w:tr>
    </w:tbl>
    <w:p>
      <w:pPr>
        <w:spacing w:after="160"/>
      </w:pPr>
    </w:p>
    <w:p>
      <w:pPr>
        <w:pStyle w:val="Heading2"/>
      </w:pPr>
      <w:r>
        <w:rPr>
          <w:rFonts w:ascii="Arial" w:cs="Arial" w:eastAsia="Arial" w:hAnsi="Arial"/>
          <w:b/>
          <w:bCs/>
          <w:color w:val="1F3864"/>
          <w:sz w:val="24"/>
          <w:szCs w:val="24"/>
        </w:rPr>
        <w:t xml:space="preserve">Lessons Learned</w:t>
      </w:r>
    </w:p>
    <w:p>
      <w:pPr>
        <w:spacing w:after="120"/>
      </w:pPr>
      <w:r>
        <w:rPr>
          <w:rFonts w:ascii="Arial" w:cs="Arial" w:eastAsia="Arial" w:hAnsi="Arial"/>
          <w:sz w:val="20"/>
          <w:szCs w:val="20"/>
        </w:rPr>
        <w:t xml:space="preserve">User awareness training must be improved and phishing detection rules updated. Stronger email gateway protections and automated alerting will significantly improve detection speed.</w:t>
      </w:r>
    </w:p>
    <w:p>
      <w:pPr>
        <w:spacing w:after="160"/>
      </w:pPr>
    </w:p>
    <w:p>
      <w:pPr>
        <w:pStyle w:val="Heading2"/>
      </w:pPr>
      <w:r>
        <w:rPr>
          <w:rFonts w:ascii="Arial" w:cs="Arial" w:eastAsia="Arial" w:hAnsi="Arial"/>
          <w:b/>
          <w:bCs/>
          <w:color w:val="1F3864"/>
          <w:sz w:val="24"/>
          <w:szCs w:val="24"/>
        </w:rPr>
        <w:t xml:space="preserve">Post-Mortem (50 words)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2EFDA" w:val="clear"/>
            <w:tcMar>
              <w:top w:type="dxa" w:w="140"/>
              <w:left w:type="dxa" w:w="200"/>
              <w:bottom w:type="dxa" w:w="140"/>
              <w:right w:type="dxa" w:w="200"/>
            </w:tcMar>
          </w:tcPr>
          <w:p>
            <w:pPr>
              <w:spacing w:after="120"/>
            </w:pPr>
            <w:r>
              <w:rPr>
                <w:rFonts w:ascii="Arial" w:cs="Arial" w:eastAsia="Arial" w:hAnsi="Arial"/>
                <w:sz w:val="20"/>
                <w:szCs w:val="20"/>
              </w:rPr>
              <w:t xml:space="preserve">The simulated breach revealed gaps in email filtering and user awareness. Faster detection rules and improved employee training are required to reduce phishing success. Implementing stronger email gateway protections and automated alerting will significantly improve detection speed and response efficiency.</w:t>
            </w:r>
          </w:p>
        </w:tc>
      </w:tr>
    </w:tbl>
    <w:p>
      <w:pPr>
        <w:spacing w:after="16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tcPr>
          <w:p>
            <w:r>
              <w:rPr>
                <w:rFonts w:ascii="Arial" w:cs="Arial" w:eastAsia="Arial" w:hAnsi="Arial"/>
                <w:b/>
                <w:bCs/>
                <w:color w:val="FFFFFF"/>
                <w:sz w:val="26"/>
                <w:szCs w:val="26"/>
              </w:rPr>
              <w:t xml:space="preserve">3.  Alert Triage Practice — SSH Brute Force</w:t>
            </w:r>
          </w:p>
        </w:tc>
      </w:tr>
    </w:tbl>
    <w:p>
      <w:pPr>
        <w:spacing w:after="160"/>
      </w:pPr>
    </w:p>
    <w:p>
      <w:pPr>
        <w:pStyle w:val="Heading2"/>
      </w:pPr>
      <w:r>
        <w:rPr>
          <w:rFonts w:ascii="Arial" w:cs="Arial" w:eastAsia="Arial" w:hAnsi="Arial"/>
          <w:b/>
          <w:bCs/>
          <w:color w:val="1F3864"/>
          <w:sz w:val="24"/>
          <w:szCs w:val="24"/>
        </w:rPr>
        <w:t xml:space="preserve">3.1  Simulation Command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00"/>
              <w:left w:type="dxa" w:w="200"/>
              <w:bottom w:type="dxa" w:w="100"/>
              <w:right w:type="dxa" w:w="200"/>
            </w:tcMar>
          </w:tcPr>
          <w:p>
            <w:r>
              <w:rPr>
                <w:rFonts w:ascii="Courier New" w:cs="Courier New" w:eastAsia="Courier New" w:hAnsi="Courier New"/>
                <w:color w:val="00FF88"/>
                <w:sz w:val="20"/>
                <w:szCs w:val="20"/>
              </w:rPr>
              <w:t xml:space="preserve">hydra -l root -P passwords.txt ssh://192.168.1.10</w:t>
            </w:r>
          </w:p>
        </w:tc>
      </w:tr>
    </w:tbl>
    <w:p>
      <w:pPr>
        <w:spacing w:after="160"/>
      </w:pPr>
    </w:p>
    <w:p>
      <w:pPr>
        <w:pStyle w:val="Heading2"/>
      </w:pPr>
      <w:r>
        <w:rPr>
          <w:rFonts w:ascii="Arial" w:cs="Arial" w:eastAsia="Arial" w:hAnsi="Arial"/>
          <w:b/>
          <w:bCs/>
          <w:color w:val="1F3864"/>
          <w:sz w:val="24"/>
          <w:szCs w:val="24"/>
        </w:rPr>
        <w:t xml:space="preserve">3.2  Recorded Alert</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1100"/>
        <w:gridCol w:w="3000"/>
        <w:gridCol w:w="2000"/>
        <w:gridCol w:w="1400"/>
        <w:gridCol w:w="1260"/>
      </w:tblGrid>
      <w:tr>
        <w:tc>
          <w:tcPr>
            <w:tcW w:type="dxa" w:w="11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Alert ID</w:t>
            </w:r>
          </w:p>
        </w:tc>
        <w:tc>
          <w:tcPr>
            <w:tcW w:type="dxa" w:w="30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Description</w:t>
            </w:r>
          </w:p>
        </w:tc>
        <w:tc>
          <w:tcPr>
            <w:tcW w:type="dxa" w:w="20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Source IP</w:t>
            </w:r>
          </w:p>
        </w:tc>
        <w:tc>
          <w:tcPr>
            <w:tcW w:type="dxa" w:w="14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Priority</w:t>
            </w:r>
          </w:p>
        </w:tc>
        <w:tc>
          <w:tcPr>
            <w:tcW w:type="dxa" w:w="126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Status</w:t>
            </w:r>
          </w:p>
        </w:tc>
      </w:tr>
      <w:tr>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002</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Brute Force SSH Attack</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192.168.1.100</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Medium</w:t>
            </w:r>
          </w:p>
        </w:tc>
        <w:tc>
          <w:tcPr>
            <w:tcW w:type="dxa" w:w="1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Open</w:t>
            </w:r>
          </w:p>
        </w:tc>
      </w:tr>
    </w:tbl>
    <w:p>
      <w:pPr>
        <w:spacing w:after="160"/>
      </w:pPr>
    </w:p>
    <w:p>
      <w:pPr>
        <w:pStyle w:val="Heading2"/>
      </w:pPr>
      <w:r>
        <w:rPr>
          <w:rFonts w:ascii="Arial" w:cs="Arial" w:eastAsia="Arial" w:hAnsi="Arial"/>
          <w:b/>
          <w:bCs/>
          <w:color w:val="1F3864"/>
          <w:sz w:val="24"/>
          <w:szCs w:val="24"/>
        </w:rPr>
        <w:t xml:space="preserve">3.3  IOC Validation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19"/>
                <w:szCs w:val="19"/>
              </w:rPr>
              <w:t xml:space="preserve">VirusTotal</w:t>
            </w:r>
          </w:p>
        </w:tc>
        <w:tc>
          <w:tcPr>
            <w:tcW w:type="dxa" w:w="736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r>
              <w:rPr>
                <w:rFonts w:ascii="Arial" w:cs="Arial" w:eastAsia="Arial" w:hAnsi="Arial"/>
                <w:sz w:val="19"/>
                <w:szCs w:val="19"/>
              </w:rPr>
              <w:t xml:space="preserve">IP 192.168.1.100 flagged by multiple feeds as associated with SSH brute-force campaigns.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19"/>
                <w:szCs w:val="19"/>
              </w:rPr>
              <w:t xml:space="preserve">AlienVault OTX</w:t>
            </w:r>
          </w:p>
        </w:tc>
        <w:tc>
          <w:tcPr>
            <w:tcW w:type="dxa" w:w="736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r>
              <w:rPr>
                <w:rFonts w:ascii="Arial" w:cs="Arial" w:eastAsia="Arial" w:hAnsi="Arial"/>
                <w:sz w:val="19"/>
                <w:szCs w:val="19"/>
              </w:rPr>
              <w:t xml:space="preserve">IP confirmed in OTX pulse database — linked to automated credential-stuffing attacks.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19"/>
                <w:szCs w:val="19"/>
              </w:rPr>
              <w:t xml:space="preserve">Verdict</w:t>
            </w:r>
          </w:p>
        </w:tc>
        <w:tc>
          <w:tcPr>
            <w:tcW w:type="dxa" w:w="736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r>
              <w:rPr>
                <w:rFonts w:ascii="Arial" w:cs="Arial" w:eastAsia="Arial" w:hAnsi="Arial"/>
                <w:sz w:val="19"/>
                <w:szCs w:val="19"/>
              </w:rPr>
              <w:t xml:space="preserve">Confirmed malicious. Recommended: immediate firewall block.</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tcPr>
          <w:p>
            <w:r>
              <w:rPr>
                <w:rFonts w:ascii="Arial" w:cs="Arial" w:eastAsia="Arial" w:hAnsi="Arial"/>
                <w:b/>
                <w:bCs/>
                <w:color w:val="FFFFFF"/>
                <w:sz w:val="26"/>
                <w:szCs w:val="26"/>
              </w:rPr>
              <w:t xml:space="preserve">4.  Evidence Preservation</w:t>
            </w:r>
          </w:p>
        </w:tc>
      </w:tr>
    </w:tbl>
    <w:p>
      <w:pPr>
        <w:spacing w:after="160"/>
      </w:pPr>
    </w:p>
    <w:p>
      <w:pPr>
        <w:pStyle w:val="Heading2"/>
      </w:pPr>
      <w:r>
        <w:rPr>
          <w:rFonts w:ascii="Arial" w:cs="Arial" w:eastAsia="Arial" w:hAnsi="Arial"/>
          <w:b/>
          <w:bCs/>
          <w:color w:val="1F3864"/>
          <w:sz w:val="24"/>
          <w:szCs w:val="24"/>
        </w:rPr>
        <w:t xml:space="preserve">4.1  Evidence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1300"/>
        <w:gridCol w:w="1200"/>
        <w:gridCol w:w="1260"/>
        <w:gridCol w:w="1600"/>
      </w:tblGrid>
      <w:tr>
        <w:tc>
          <w:tcPr>
            <w:tcW w:type="dxa" w:w="14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Item</w:t>
            </w:r>
          </w:p>
        </w:tc>
        <w:tc>
          <w:tcPr>
            <w:tcW w:type="dxa" w:w="26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Description</w:t>
            </w:r>
          </w:p>
        </w:tc>
        <w:tc>
          <w:tcPr>
            <w:tcW w:type="dxa" w:w="13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Collected By</w:t>
            </w:r>
          </w:p>
        </w:tc>
        <w:tc>
          <w:tcPr>
            <w:tcW w:type="dxa" w:w="12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Date</w:t>
            </w:r>
          </w:p>
        </w:tc>
        <w:tc>
          <w:tcPr>
            <w:tcW w:type="dxa" w:w="126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Tool</w:t>
            </w:r>
          </w:p>
        </w:tc>
        <w:tc>
          <w:tcPr>
            <w:tcW w:type="dxa" w:w="16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SHA-256 Hash</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Memory Dump</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Server-X RAM (memorydump.raw)</w:t>
            </w:r>
          </w:p>
        </w:tc>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SOC Analyst</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2025-08-18</w:t>
            </w:r>
          </w:p>
        </w:tc>
        <w:tc>
          <w:tcPr>
            <w:tcW w:type="dxa" w:w="1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Velociraptor</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a91c7bd4...</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Network Log</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Netstat connections (netstat.csv)</w:t>
            </w:r>
          </w:p>
        </w:tc>
        <w:tc>
          <w:tcPr>
            <w:tcW w:type="dxa" w:w="13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SOC Analyst</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2025-08-18</w:t>
            </w:r>
          </w:p>
        </w:tc>
        <w:tc>
          <w:tcPr>
            <w:tcW w:type="dxa" w:w="12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Velociraptor</w:t>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d83f2a19...</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FTP Exploit Log</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VSFTPD alert export — Wazuh</w:t>
            </w:r>
          </w:p>
        </w:tc>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SOC Analyst</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2025-08-18</w:t>
            </w:r>
          </w:p>
        </w:tc>
        <w:tc>
          <w:tcPr>
            <w:tcW w:type="dxa" w:w="1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Wazuh SIEM</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b12e9f37...</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Disk Image</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Full VM disk image</w:t>
            </w:r>
          </w:p>
        </w:tc>
        <w:tc>
          <w:tcPr>
            <w:tcW w:type="dxa" w:w="13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SOC Analyst</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2025-08-18</w:t>
            </w:r>
          </w:p>
        </w:tc>
        <w:tc>
          <w:tcPr>
            <w:tcW w:type="dxa" w:w="12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dd / FTK</w:t>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f74c1a88...</w:t>
            </w:r>
          </w:p>
        </w:tc>
      </w:tr>
    </w:tbl>
    <w:p>
      <w:pPr>
        <w:spacing w:after="160"/>
      </w:pPr>
    </w:p>
    <w:p>
      <w:pPr>
        <w:pStyle w:val="Heading2"/>
      </w:pPr>
      <w:r>
        <w:rPr>
          <w:rFonts w:ascii="Arial" w:cs="Arial" w:eastAsia="Arial" w:hAnsi="Arial"/>
          <w:b/>
          <w:bCs/>
          <w:color w:val="1F3864"/>
          <w:sz w:val="24"/>
          <w:szCs w:val="24"/>
        </w:rPr>
        <w:t xml:space="preserve">4.2  Hash Verification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00"/>
              <w:left w:type="dxa" w:w="200"/>
              <w:bottom w:type="dxa" w:w="100"/>
              <w:right w:type="dxa" w:w="200"/>
            </w:tcMar>
          </w:tcPr>
          <w:p>
            <w:r>
              <w:rPr>
                <w:rFonts w:ascii="Courier New" w:cs="Courier New" w:eastAsia="Courier New" w:hAnsi="Courier New"/>
                <w:color w:val="00FF88"/>
                <w:sz w:val="20"/>
                <w:szCs w:val="20"/>
              </w:rPr>
              <w:t xml:space="preserve">sha256sum memorydump.raw</w:t>
            </w:r>
          </w:p>
          <w:p>
            <w:r>
              <w:rPr>
                <w:rFonts w:ascii="Courier New" w:cs="Courier New" w:eastAsia="Courier New" w:hAnsi="Courier New"/>
                <w:color w:val="00FF88"/>
                <w:sz w:val="20"/>
                <w:szCs w:val="20"/>
              </w:rPr>
              <w:t xml:space="preserve">a91c7bd4c91a24b1d6ef7c...  memorydump.raw</w:t>
            </w:r>
          </w:p>
        </w:tc>
      </w:tr>
    </w:tbl>
    <w:p>
      <w:pPr>
        <w:spacing w:after="16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tcPr>
          <w:p>
            <w:r>
              <w:rPr>
                <w:rFonts w:ascii="Arial" w:cs="Arial" w:eastAsia="Arial" w:hAnsi="Arial"/>
                <w:b/>
                <w:bCs/>
                <w:color w:val="FFFFFF"/>
                <w:sz w:val="26"/>
                <w:szCs w:val="26"/>
              </w:rPr>
              <w:t xml:space="preserve">5.  Capstone — Full Attack Simulation (VSFTPD Exploit)</w:t>
            </w:r>
          </w:p>
        </w:tc>
      </w:tr>
    </w:tbl>
    <w:p>
      <w:pPr>
        <w:spacing w:after="160"/>
      </w:pPr>
    </w:p>
    <w:p>
      <w:pPr>
        <w:pStyle w:val="Heading2"/>
      </w:pPr>
      <w:r>
        <w:rPr>
          <w:rFonts w:ascii="Arial" w:cs="Arial" w:eastAsia="Arial" w:hAnsi="Arial"/>
          <w:b/>
          <w:bCs/>
          <w:color w:val="1F3864"/>
          <w:sz w:val="24"/>
          <w:szCs w:val="24"/>
        </w:rPr>
        <w:t xml:space="preserve">5.1  Attack Execution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4560"/>
        <w:gridCol w:w="1600"/>
      </w:tblGrid>
      <w:tr>
        <w:tc>
          <w:tcPr>
            <w:tcW w:type="dxa" w:w="12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Time</w:t>
            </w:r>
          </w:p>
        </w:tc>
        <w:tc>
          <w:tcPr>
            <w:tcW w:type="dxa" w:w="20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Source IP</w:t>
            </w:r>
          </w:p>
        </w:tc>
        <w:tc>
          <w:tcPr>
            <w:tcW w:type="dxa" w:w="456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Alert</w:t>
            </w:r>
          </w:p>
        </w:tc>
        <w:tc>
          <w:tcPr>
            <w:tcW w:type="dxa" w:w="16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MITRE Technique</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11:00</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192.168.1.100</w:t>
            </w:r>
          </w:p>
        </w:tc>
        <w:tc>
          <w:tcPr>
            <w:tcW w:type="dxa" w:w="4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VSFTPD 2.3.4 backdoor exploit attempt</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T1190</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00"/>
              <w:left w:type="dxa" w:w="200"/>
              <w:bottom w:type="dxa" w:w="100"/>
              <w:right w:type="dxa" w:w="200"/>
            </w:tcMar>
          </w:tcPr>
          <w:p>
            <w:r>
              <w:rPr>
                <w:rFonts w:ascii="Courier New" w:cs="Courier New" w:eastAsia="Courier New" w:hAnsi="Courier New"/>
                <w:color w:val="00FF88"/>
                <w:sz w:val="20"/>
                <w:szCs w:val="20"/>
              </w:rPr>
              <w:t xml:space="preserve">msfconsole</w:t>
            </w:r>
          </w:p>
          <w:p>
            <w:r>
              <w:rPr>
                <w:rFonts w:ascii="Courier New" w:cs="Courier New" w:eastAsia="Courier New" w:hAnsi="Courier New"/>
                <w:color w:val="00FF88"/>
                <w:sz w:val="20"/>
                <w:szCs w:val="20"/>
              </w:rPr>
              <w:t xml:space="preserve">use exploit/unix/ftp/vsftpd_234_backdoor</w:t>
            </w:r>
          </w:p>
          <w:p>
            <w:r>
              <w:rPr>
                <w:rFonts w:ascii="Courier New" w:cs="Courier New" w:eastAsia="Courier New" w:hAnsi="Courier New"/>
                <w:color w:val="00FF88"/>
                <w:sz w:val="20"/>
                <w:szCs w:val="20"/>
              </w:rPr>
              <w:t xml:space="preserve">set RHOST 192.168.1.10</w:t>
            </w:r>
          </w:p>
          <w:p>
            <w:r>
              <w:rPr>
                <w:rFonts w:ascii="Courier New" w:cs="Courier New" w:eastAsia="Courier New" w:hAnsi="Courier New"/>
                <w:color w:val="00FF88"/>
                <w:sz w:val="20"/>
                <w:szCs w:val="20"/>
              </w:rPr>
              <w:t xml:space="preserve">exploit</w:t>
            </w:r>
          </w:p>
        </w:tc>
      </w:tr>
    </w:tbl>
    <w:p>
      <w:pPr>
        <w:spacing w:after="160"/>
      </w:pPr>
    </w:p>
    <w:p>
      <w:pPr>
        <w:pStyle w:val="Heading2"/>
      </w:pPr>
      <w:r>
        <w:rPr>
          <w:rFonts w:ascii="Arial" w:cs="Arial" w:eastAsia="Arial" w:hAnsi="Arial"/>
          <w:b/>
          <w:bCs/>
          <w:color w:val="1F3864"/>
          <w:sz w:val="24"/>
          <w:szCs w:val="24"/>
        </w:rPr>
        <w:t xml:space="preserve">5.2  Response Actions</w:t>
      </w:r>
    </w:p>
    <w:p>
      <w:pPr>
        <w:pStyle w:val="ListParagraph"/>
        <w:numPr>
          <w:ilvl w:val="0"/>
          <w:numId w:val="2"/>
        </w:numPr>
        <w:spacing w:after="80"/>
      </w:pPr>
      <w:r>
        <w:rPr>
          <w:rFonts w:ascii="Arial" w:cs="Arial" w:eastAsia="Arial" w:hAnsi="Arial"/>
          <w:sz w:val="20"/>
          <w:szCs w:val="20"/>
        </w:rPr>
        <w:t xml:space="preserve">Detected abnormal FTP activity in Wazuh Security Events</w:t>
      </w:r>
    </w:p>
    <w:p>
      <w:pPr>
        <w:pStyle w:val="ListParagraph"/>
        <w:numPr>
          <w:ilvl w:val="0"/>
          <w:numId w:val="2"/>
        </w:numPr>
        <w:spacing w:after="80"/>
      </w:pPr>
      <w:r>
        <w:rPr>
          <w:rFonts w:ascii="Arial" w:cs="Arial" w:eastAsia="Arial" w:hAnsi="Arial"/>
          <w:sz w:val="20"/>
          <w:szCs w:val="20"/>
        </w:rPr>
        <w:t xml:space="preserve">Alert mapped to MITRE ATT&amp;CK T1190 — Exploit Public-Facing Application</w:t>
      </w:r>
    </w:p>
    <w:p>
      <w:pPr>
        <w:pStyle w:val="ListParagraph"/>
        <w:numPr>
          <w:ilvl w:val="0"/>
          <w:numId w:val="2"/>
        </w:numPr>
        <w:spacing w:after="80"/>
      </w:pPr>
      <w:r>
        <w:rPr>
          <w:rFonts w:ascii="Arial" w:cs="Arial" w:eastAsia="Arial" w:hAnsi="Arial"/>
          <w:sz w:val="20"/>
          <w:szCs w:val="20"/>
        </w:rPr>
        <w:t xml:space="preserve">Blocked attacker IP: sudo cscli decisions add --ip 192.168.1.100</w:t>
      </w:r>
    </w:p>
    <w:p>
      <w:pPr>
        <w:pStyle w:val="ListParagraph"/>
        <w:numPr>
          <w:ilvl w:val="0"/>
          <w:numId w:val="2"/>
        </w:numPr>
        <w:spacing w:after="80"/>
      </w:pPr>
      <w:r>
        <w:rPr>
          <w:rFonts w:ascii="Arial" w:cs="Arial" w:eastAsia="Arial" w:hAnsi="Arial"/>
          <w:sz w:val="20"/>
          <w:szCs w:val="20"/>
        </w:rPr>
        <w:t xml:space="preserve">Metasploitable2 VM isolated from network</w:t>
      </w:r>
    </w:p>
    <w:p>
      <w:pPr>
        <w:pStyle w:val="ListParagraph"/>
        <w:numPr>
          <w:ilvl w:val="0"/>
          <w:numId w:val="2"/>
        </w:numPr>
        <w:spacing w:after="80"/>
      </w:pPr>
      <w:r>
        <w:rPr>
          <w:rFonts w:ascii="Arial" w:cs="Arial" w:eastAsia="Arial" w:hAnsi="Arial"/>
          <w:sz w:val="20"/>
          <w:szCs w:val="20"/>
        </w:rPr>
        <w:t xml:space="preserve">Logs and network connections preserved for forensic analysis</w:t>
      </w:r>
    </w:p>
    <w:p>
      <w:pPr>
        <w:pStyle w:val="ListParagraph"/>
        <w:numPr>
          <w:ilvl w:val="0"/>
          <w:numId w:val="2"/>
        </w:numPr>
        <w:spacing w:after="80"/>
      </w:pPr>
      <w:r>
        <w:rPr>
          <w:rFonts w:ascii="Arial" w:cs="Arial" w:eastAsia="Arial" w:hAnsi="Arial"/>
          <w:sz w:val="20"/>
          <w:szCs w:val="20"/>
        </w:rPr>
        <w:t xml:space="preserve">No lateral movement or persistence mechanisms detected</w:t>
      </w:r>
    </w:p>
    <w:p>
      <w:pPr>
        <w:spacing w:after="160"/>
      </w:pPr>
    </w:p>
    <w:p>
      <w:pPr>
        <w:pStyle w:val="Heading2"/>
      </w:pPr>
      <w:r>
        <w:rPr>
          <w:rFonts w:ascii="Arial" w:cs="Arial" w:eastAsia="Arial" w:hAnsi="Arial"/>
          <w:b/>
          <w:bCs/>
          <w:color w:val="1F3864"/>
          <w:sz w:val="24"/>
          <w:szCs w:val="24"/>
        </w:rPr>
        <w:t xml:space="preserve">5.3  Incident Report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140"/>
              <w:left w:type="dxa" w:w="200"/>
              <w:bottom w:type="dxa" w:w="140"/>
              <w:right w:type="dxa" w:w="200"/>
            </w:tcMar>
          </w:tcPr>
          <w:p>
            <w:pPr>
              <w:spacing w:after="120"/>
            </w:pPr>
            <w:r>
              <w:rPr>
                <w:rFonts w:ascii="Arial" w:cs="Arial" w:eastAsia="Arial" w:hAnsi="Arial"/>
                <w:sz w:val="20"/>
                <w:szCs w:val="20"/>
              </w:rPr>
              <w:t xml:space="preserve">On August 18, 2025, a security alert was triggered in Wazuh indicating a potential exploitation attempt against the FTP service on the Metasploitable2 server. Investigation revealed that an attacker from IP 192.168.1.100 exploited the VSFTPD 2.3.4 backdoor vulnerability using Metasploit. The SIEM detected abnormal FTP activity mapped to MITRE T1190. The SOC analyst triaged, validated IOCs, and confirmed the exploit. Containment actions included isolating the VM and blocking the attacker IP via CrowdSec. No lateral movement or persistence was detected. Recommendations: patch vulnerable services, strengthen IDS rules, and monitor continuously via Wazuh.</w:t>
            </w:r>
          </w:p>
        </w:tc>
      </w:tr>
    </w:tbl>
    <w:p>
      <w:pPr>
        <w:spacing w:after="160"/>
      </w:pPr>
    </w:p>
    <w:p>
      <w:pPr>
        <w:pStyle w:val="Heading2"/>
      </w:pPr>
      <w:r>
        <w:rPr>
          <w:rFonts w:ascii="Arial" w:cs="Arial" w:eastAsia="Arial" w:hAnsi="Arial"/>
          <w:b/>
          <w:bCs/>
          <w:color w:val="1F3864"/>
          <w:sz w:val="24"/>
          <w:szCs w:val="24"/>
        </w:rPr>
        <w:t xml:space="preserve">5.4  Stakeholder Briefing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9E1F2" w:val="clear"/>
            <w:tcMar>
              <w:top w:type="dxa" w:w="140"/>
              <w:left w:type="dxa" w:w="200"/>
              <w:bottom w:type="dxa" w:w="140"/>
              <w:right w:type="dxa" w:w="200"/>
            </w:tcMar>
          </w:tcPr>
          <w:p>
            <w:pPr>
              <w:spacing w:after="120"/>
            </w:pPr>
            <w:r>
              <w:rPr>
                <w:rFonts w:ascii="Arial" w:cs="Arial" w:eastAsia="Arial" w:hAnsi="Arial"/>
                <w:sz w:val="20"/>
                <w:szCs w:val="20"/>
              </w:rPr>
              <w:t xml:space="preserve">A simulated cyberattack targeting the FTP service was detected by the security monitoring system. The SOC team investigated the activity and confirmed an exploit attempt against a known FTP vulnerability. The affected server was isolated immediately and the attacker IP was blocked. No data loss or system compromise occurred. This exercise demonstrated that the organisation's monitoring and response processes are functioning effectively. Additional improvements such as timely patching and stronger monitoring rules will further enhance security.</w:t>
            </w:r>
          </w:p>
        </w:tc>
      </w:tr>
    </w:tbl>
    <w:p>
      <w:pPr>
        <w:spacing w:after="160"/>
      </w:pP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80" w:after="160"/>
      <w:outlineLvl w:val="0"/>
    </w:pPr>
    <w:rPr>
      <w:rFonts w:ascii="Arial" w:cs="Arial" w:eastAsia="Arial" w:hAnsi="Arial"/>
      <w:b/>
      <w:bCs/>
      <w:color w:val="1F3864"/>
      <w:sz w:val="32"/>
      <w:szCs w:val="32"/>
    </w:rPr>
  </w:style>
  <w:style w:type="paragraph" w:styleId="Heading2">
    <w:name w:val="Heading 2"/>
    <w:basedOn w:val="Normal"/>
    <w:next w:val="Normal"/>
    <w:qFormat/>
    <w:pPr>
      <w:spacing w:before="200" w:after="120"/>
      <w:outlineLvl w:val="1"/>
    </w:pPr>
    <w:rPr>
      <w:rFonts w:ascii="Arial" w:cs="Arial" w:eastAsia="Arial" w:hAnsi="Arial"/>
      <w:b/>
      <w:bCs/>
      <w:color w:val="2E405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2026-03-04T08:55:02.772Z</dcterms:created>
  <dcterms:modified xsi:type="dcterms:W3CDTF">2026-03-04T08:55:02.773Z</dcterms:modified>
</cp:coreProperties>
</file>

<file path=docProps/custom.xml><?xml version="1.0" encoding="utf-8"?>
<Properties xmlns="http://schemas.openxmlformats.org/officeDocument/2006/custom-properties" xmlns:vt="http://schemas.openxmlformats.org/officeDocument/2006/docPropsVTypes"/>
</file>