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sz w:val="26"/>
        </w:rPr>
        <w:t>Research Highlights</w:t>
      </w:r>
    </w:p>
    <w:p>
      <w:pPr>
        <w:spacing w:after="240"/>
      </w:pPr>
      <w:r>
        <w:rPr>
          <w:i/>
        </w:rPr>
        <w:t>Title: "Ontology-Constrained Neuro-Symbolic Decoding: Enforcing Axiomatic Least-Privilege in Autonomous LLM Agents"</w:t>
      </w:r>
    </w:p>
    <w:p>
      <w:pPr>
        <w:pStyle w:val="ListBullet"/>
        <w:spacing w:after="80"/>
      </w:pPr>
      <w:r>
        <w:rPr>
          <w:sz w:val="22"/>
        </w:rPr>
        <w:t>Formal RBAC ontologies compile into runtime token grammars for LLM agents.</w:t>
      </w:r>
    </w:p>
    <w:p>
      <w:pPr>
        <w:pStyle w:val="ListBullet"/>
        <w:spacing w:after="80"/>
      </w:pPr>
      <w:r>
        <w:rPr>
          <w:sz w:val="22"/>
        </w:rPr>
        <w:t>Logit masking mathematically guarantees zero privilege escalations.</w:t>
      </w:r>
    </w:p>
    <w:p>
      <w:pPr>
        <w:pStyle w:val="ListBullet"/>
        <w:spacing w:after="80"/>
      </w:pPr>
      <w:r>
        <w:rPr>
          <w:sz w:val="22"/>
        </w:rPr>
        <w:t>O-CTD suppresses attack success rate from 80% to 20% in enterprise tests.</w:t>
      </w:r>
    </w:p>
    <w:p>
      <w:pPr>
        <w:pStyle w:val="ListBullet"/>
        <w:spacing w:after="80"/>
      </w:pPr>
      <w:r>
        <w:rPr>
          <w:sz w:val="22"/>
        </w:rPr>
        <w:t>Achieves 100% benign task completion with zero JSON syntax formatting errors.</w:t>
      </w:r>
    </w:p>
    <w:p>
      <w:pPr>
        <w:pStyle w:val="ListBullet"/>
        <w:spacing w:after="80"/>
      </w:pPr>
      <w:r>
        <w:rPr>
          <w:sz w:val="22"/>
        </w:rPr>
        <w:t>Wilcoxon signed-rank test confirms statistical significance (p &lt; 0.001).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