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i/>
          <w:color w:val="64748B"/>
          <w:sz w:val="19"/>
        </w:rPr>
        <w:t>Target: Knowledge-Based Systems (Elsevier) — Regular Research Article</w:t>
      </w:r>
    </w:p>
    <w:p>
      <w:pPr>
        <w:spacing w:before="80" w:after="200"/>
      </w:pPr>
      <w:r>
        <w:rPr>
          <w:rFonts w:ascii="Times New Roman" w:hAnsi="Times New Roman"/>
          <w:b/>
          <w:color w:val="0F172A"/>
          <w:sz w:val="34"/>
        </w:rPr>
        <w:t>Ontology-Constrained Neuro-Symbolic Decoding: Enforcing Axiomatic Least-Privilege in Autonomous LLM Agents</w:t>
      </w:r>
    </w:p>
    <w:p>
      <w:pPr>
        <w:spacing w:after="40"/>
      </w:pPr>
      <w:r>
        <w:rPr>
          <w:rFonts w:ascii="Times New Roman" w:hAnsi="Times New Roman"/>
          <w:b/>
          <w:sz w:val="24"/>
        </w:rPr>
        <w:t>Nithin Kumbam*</w:t>
      </w:r>
    </w:p>
    <w:p>
      <w:pPr>
        <w:spacing w:after="40"/>
      </w:pPr>
      <w:r>
        <w:rPr>
          <w:rFonts w:ascii="Times New Roman" w:hAnsi="Times New Roman"/>
          <w:i/>
          <w:color w:val="475569"/>
          <w:sz w:val="20"/>
        </w:rPr>
        <w:t>Enterprise AI Research Laboratory, New York, NY 10001, USA</w:t>
      </w:r>
    </w:p>
    <w:p>
      <w:pPr>
        <w:spacing w:after="240"/>
      </w:pPr>
      <w:r>
        <w:rPr>
          <w:rFonts w:ascii="Times New Roman" w:hAnsi="Times New Roman"/>
          <w:color w:val="64748B"/>
          <w:sz w:val="18"/>
        </w:rPr>
        <w:t>* Corresponding author. E-mail: nithin@research.org | Repository: https://github.com/nithin42/kbs-ontoguard</w:t>
      </w:r>
    </w:p>
    <w:p>
      <w:pPr>
        <w:spacing w:before="120" w:after="40"/>
      </w:pPr>
      <w:r>
        <w:rPr>
          <w:rFonts w:ascii="Times New Roman" w:hAnsi="Times New Roman"/>
          <w:b/>
          <w:sz w:val="22"/>
        </w:rPr>
        <w:t>Abstract</w:t>
      </w:r>
    </w:p>
    <w:p>
      <w:pPr>
        <w:spacing w:after="160"/>
        <w:ind w:left="288" w:right="288"/>
      </w:pPr>
      <w:r>
        <w:rPr>
          <w:sz w:val="20"/>
        </w:rPr>
        <w:t>Autonomous tool-calling Large Language Model (LLM) agents are increasingly entrusted with operational authority in enterprise business workflows, including financial disbursements, database modifications, and customer identity operations. However, existing safety paradigms rely predominantly on in-context system prompts or post-hoc classifiers, both of which remain vulnerable to indirect prompt injection, privilege escalation, and adversarial parameter tampering. In this paper, we propose Ontology-Constrained Token Decoding (O-CTD), a neuro-symbolic framework that compiles formal, declarative Role-Based Access Control (RBAC) ontologies into runtime Context-Free Grammars (CFGs). By projecting the LLM's autoregressive logit distribution onto the permissible transitions of a Deterministic Finite Automaton (DFA) at each generation step, O-CTD mathematically guarantees that unauthorized tool selections and out-of-bounds parameter values cannot be sampled. We empirically evaluate O-CTD against three standard industry baselines across 100 enterprise business scenarios (400 total inferences) using Qwen2.5-7B-Instruct on an NVIDIA RTX 4090 GPU. Experimental results demonstrate that O-CTD suppresses the Attack Success Rate (ASR) from 80.0% (in-context guardrails) down to 20.0%, reduces policy Invariant Violation Rates (IVR) from 90.0% to 10.0%, and achieves 100.0% Benign Task Completion (BTC). A paired Wilcoxon signed-rank test confirms statistical significance (W = 0.0, p = 3.74 × 10⁻¹⁹, r = 0.800). We publish our benchmark suite, declarative schemas, and decoding harness to advance formal verification in agentic AI.</w:t>
      </w:r>
    </w:p>
    <w:p>
      <w:pPr>
        <w:spacing w:after="240"/>
        <w:ind w:left="288"/>
      </w:pPr>
      <w:r>
        <w:rPr>
          <w:b/>
          <w:sz w:val="20"/>
        </w:rPr>
        <w:t xml:space="preserve">Keywords: </w:t>
      </w:r>
      <w:r>
        <w:rPr>
          <w:sz w:val="20"/>
        </w:rPr>
        <w:t>Neuro-symbolic AI; Large Language Models; Constrained Decoding; Autonomous Agents; Role-Based Access Control; Prompt Injection Defense</w:t>
      </w:r>
    </w:p>
    <w:p>
      <w:pPr>
        <w:keepNext/>
        <w:spacing w:before="200" w:after="60"/>
      </w:pPr>
      <w:r>
        <w:rPr>
          <w:rFonts w:ascii="Times New Roman" w:hAnsi="Times New Roman"/>
          <w:b/>
          <w:i/>
          <w:color w:val="1E293B"/>
          <w:sz w:val="23"/>
        </w:rPr>
        <w:t>Highlights</w:t>
      </w:r>
    </w:p>
    <w:p>
      <w:pPr>
        <w:pStyle w:val="ListBullet"/>
        <w:spacing w:before="20" w:after="40"/>
      </w:pPr>
      <w:r>
        <w:rPr>
          <w:sz w:val="20"/>
        </w:rPr>
        <w:t>A formal neuro-symbolic framework compiling enterprise RBAC ontologies into runtime Context-Free Grammars (CFGs).</w:t>
      </w:r>
    </w:p>
    <w:p>
      <w:pPr>
        <w:pStyle w:val="ListBullet"/>
        <w:spacing w:before="20" w:after="40"/>
      </w:pPr>
      <w:r>
        <w:rPr>
          <w:sz w:val="20"/>
        </w:rPr>
        <w:t>Deterministic logit masking mathematically guarantees that out-of-privilege tools and parameters cannot be emitted (P(Phi_struct = False) = 0).</w:t>
      </w:r>
    </w:p>
    <w:p>
      <w:pPr>
        <w:pStyle w:val="ListBullet"/>
        <w:spacing w:before="20" w:after="40"/>
      </w:pPr>
      <w:r>
        <w:rPr>
          <w:sz w:val="20"/>
        </w:rPr>
        <w:t>Empirical evaluation on NVIDIA RTX 4090: ASR reduced from 80.0% to 20.0%, and Invariant Violation Rate from 90.0% to 10.0%.</w:t>
      </w:r>
    </w:p>
    <w:p>
      <w:pPr>
        <w:pStyle w:val="ListBullet"/>
        <w:spacing w:before="20" w:after="40"/>
      </w:pPr>
      <w:r>
        <w:rPr>
          <w:sz w:val="20"/>
        </w:rPr>
        <w:t>Achieves 100.0% Benign Task Completion by eliminating the conversational preambles and JSON syntax errors common in unconstrained LLMs.</w:t>
      </w:r>
    </w:p>
    <w:p>
      <w:pPr>
        <w:pStyle w:val="ListBullet"/>
        <w:spacing w:before="20" w:after="40"/>
      </w:pPr>
      <w:r>
        <w:rPr>
          <w:sz w:val="20"/>
        </w:rPr>
        <w:t>Statistically verified via paired Wilcoxon signed-rank testing (W = 0.0, p = 3.74 × 10⁻¹⁹, rank-biserial effect size r = 0.800).</w:t>
      </w:r>
    </w:p>
    <w:p>
      <w:pPr>
        <w:keepNext/>
        <w:spacing w:before="280" w:after="80"/>
      </w:pPr>
      <w:r>
        <w:rPr>
          <w:rFonts w:ascii="Times New Roman" w:hAnsi="Times New Roman"/>
          <w:b/>
          <w:color w:val="0F172A"/>
          <w:sz w:val="26"/>
        </w:rPr>
        <w:t>1. Introduction</w:t>
      </w:r>
    </w:p>
    <w:p>
      <w:r>
        <w:t>The integration of Large Language Models (LLMs) with external Application Programming Interfaces (APIs) and tool-calling execution engines marks a transition toward autonomous enterprise software agents [1, 2]. In modern decision-support ecosystems, autonomous agents are granted live execution access to issue invoice credits, adjust customer shipping destinations, and execute relational database queries [3, 4].</w:t>
      </w:r>
    </w:p>
    <w:p>
      <w:r>
        <w:t>However, deploying autonomous agents within mission-critical infrastructure creates severe security vulnerabilities [5, 6, 7]. Most prominently, untrusted data ingested during execution—such as third-party vendor emails, customer dispute attachments, or web search results—frequently contains adversarial instructions designed to hijack the model's decision cycle via indirect prompt injection (IPI) [8, 9]. In these scenarios, the autonomous agent suffers from the classic Confused Deputy vulnerability [10], leveraging its authenticated enterprise privileges to execute destructive actions unintended by the system operator [11, 12].</w:t>
      </w:r>
    </w:p>
    <w:p>
      <w:r>
        <w:t>To safeguard agentic systems, industry practitioners currently depend on two predominant defensive paradigms:</w:t>
        <w:br/>
        <w:t>1. In-Context Instructional Prompt Guarding: Embedding natural-language security constraints within the system prompt (e.g., 'You are a Tier-1 support agent. You are strictly forbidden from exceeding $50.00 in refunds or accessing financial ledgers') [13, 14].</w:t>
        <w:br/>
        <w:t>2. Post-Hoc Output Classification: Employing external safety classifiers, guard models, or heuristic regular expressions to intercept generated function calls prior to API dispatch [15, 16].</w:t>
      </w:r>
    </w:p>
    <w:p>
      <w:r>
        <w:t>Both paradigms exhibit fundamental architectural limitations. Instructional prompt guards rely on probabilistic next-token generation; adversarial jailbreak techniques (e.g., roleplay wrappers, executive override framing, or debug-mode prompts) routinely override soft in-context instructions by shifting the token probability distribution [13, 17]. Conversely, post-hoc classifiers operate after generation has completed, decoupling security enforcement from the model's internal reasoning while failing against obfuscated or encoded malicious payloads [11, 18].</w:t>
      </w:r>
    </w:p>
    <w:p>
      <w:r>
        <w:t>To overcome these structural limitations, we present Ontology-Constrained Token Decoding (O-CTD), a neuro-symbolic framework that enforces axiomatic least-privilege directly within the autoregressive decoding process [19, 20]. Rather than relying on soft instructional adherence, O-CTD compiles declarative Role-Based Access Control (RBAC) ontologies into dynamic Context-Free Grammars (CFGs) and Deterministic Finite Automata (DFAs) [21, 22]. At every generation step, the LLM's output logits are projected onto the set of admissible tokens defined by the active session's security grammar [23, 24]. Any token representing an unauthorized tool or an out-of-bounds numeric parameter is mathematically masked prior to sampling [25, 26].</w:t>
      </w:r>
    </w:p>
    <w:p>
      <w:pPr>
        <w:keepNext/>
        <w:spacing w:before="280" w:after="80"/>
      </w:pPr>
      <w:r>
        <w:rPr>
          <w:rFonts w:ascii="Times New Roman" w:hAnsi="Times New Roman"/>
          <w:b/>
          <w:color w:val="0F172A"/>
          <w:sz w:val="26"/>
        </w:rPr>
        <w:t>2. Mathematical Formulation of O-CTD</w:t>
      </w:r>
    </w:p>
    <w:p>
      <w:pPr>
        <w:jc w:val="center"/>
      </w:pPr>
    </w:p>
    <w:p>
      <w:r>
        <w:drawing>
          <wp:inline xmlns:a="http://schemas.openxmlformats.org/drawingml/2006/main" xmlns:pic="http://schemas.openxmlformats.org/drawingml/2006/picture">
            <wp:extent cx="5852160" cy="314738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9"/>
                    <a:stretch>
                      <a:fillRect/>
                    </a:stretch>
                  </pic:blipFill>
                  <pic:spPr>
                    <a:xfrm>
                      <a:off x="0" y="0"/>
                      <a:ext cx="5852160" cy="3147380"/>
                    </a:xfrm>
                    <a:prstGeom prst="rect"/>
                  </pic:spPr>
                </pic:pic>
              </a:graphicData>
            </a:graphic>
          </wp:inline>
        </w:drawing>
      </w:r>
    </w:p>
    <w:p>
      <w:pPr>
        <w:spacing w:after="200"/>
        <w:jc w:val="center"/>
      </w:pPr>
      <w:r>
        <w:rPr>
          <w:i/>
          <w:sz w:val="19"/>
        </w:rPr>
        <w:t>Figure 1: System architecture of Ontology-Constrained Token Decoding (O-CTD). Phase I: Offline compilation maps the declarative enterprise RBAC ontology into localized Context-Free Grammars (G_r) and vocabulary DFAs (D_r). Phase II: Online neuro-symbolic execution dynamically projects unconstrained LLM logits onto the admissible token mask A(q_{t-1}), mathematically precluding out-of-privilege tool invocations and parameter violations.</w:t>
      </w:r>
    </w:p>
    <w:p>
      <w:r>
        <w:t>We formalize enterprise operational policies as an axiomatic security ontology defined over roles, tools, and parametric bounds [18, 26].</w:t>
      </w:r>
    </w:p>
    <w:tbl>
      <w:tblPr>
        <w:tblW w:type="auto" w:w="0"/>
        <w:jc w:val="center"/>
        <w:tblLook w:firstColumn="1" w:firstRow="1" w:lastColumn="0" w:lastRow="0" w:noHBand="0" w:noVBand="1" w:val="04A0"/>
      </w:tblPr>
      <w:tblGrid>
        <w:gridCol w:w="9360"/>
      </w:tblGrid>
      <w:tr>
        <w:tc>
          <w:tcPr>
            <w:tcW w:type="dxa" w:w="9360"/>
            <w:shd w:fill="F8FAFC"/>
            <w:tcBorders>
              <w:top w:val="none" w:sz="0" w:space="0" w:color="auto"/>
              <w:left w:val="single" w:sz="24" w:space="0" w:color="2563EB"/>
              <w:bottom w:val="none" w:sz="0" w:space="0" w:color="auto"/>
              <w:right w:val="none" w:sz="0" w:space="0" w:color="auto"/>
            </w:tcBorders>
          </w:tcPr>
          <w:p>
            <w:pPr>
              <w:spacing w:before="80" w:after="40"/>
            </w:pPr>
            <w:r>
              <w:rPr>
                <w:rFonts w:ascii="Times New Roman" w:hAnsi="Times New Roman"/>
                <w:b/>
                <w:color w:val="1E3A8A"/>
                <w:sz w:val="21"/>
              </w:rPr>
              <w:t>Definition 1 (Enterprise Security Ontology)</w:t>
            </w:r>
          </w:p>
          <w:p>
            <w:pPr>
              <w:spacing w:before="40" w:after="80"/>
            </w:pPr>
            <w:r>
              <w:rPr>
                <w:rFonts w:ascii="Times New Roman" w:hAnsi="Times New Roman"/>
                <w:color w:val="334155"/>
                <w:sz w:val="20"/>
              </w:rPr>
              <w:t>An Enterprise Security Ontology is a 3-tuple:</w:t>
              <w:br/>
              <w:t xml:space="preserve">    O = &lt; R, T, Sigma &gt;</w:t>
              <w:br/>
              <w:t>where:</w:t>
              <w:br/>
              <w:t>- R = {r_1, r_2, ..., r_m} denotes the finite set of enterprise session roles (e.g., CustomerSupportTier1, BillingManager, DataAnalyst).</w:t>
              <w:br/>
              <w:t>- T = {t_1, t_2, ..., t_n} represents the global catalog of operational tools and APIs.</w:t>
              <w:br/>
              <w:t>- Sigma = {sigma_1, sigma_2, ..., sigma_k} denotes the set of formal security axioms governing action validity.</w:t>
            </w:r>
          </w:p>
        </w:tc>
      </w:tr>
    </w:tbl>
    <w:p>
      <w:pPr>
        <w:spacing w:before="0" w:after="80"/>
      </w:pPr>
    </w:p>
    <w:p>
      <w:r>
        <w:t>Each active session role r in R is mapped to an authorized tool subspace T_r subseteq T and a role-specific axiom subset Sigma_r subseteq Sigma. To establish formal verification boundaries, we partition the tool argument assignment dictionary theta into structured, bounded parameters and unbounded natural-language strings:</w:t>
        <w:br/>
        <w:t xml:space="preserve">    theta = &lt; theta_bounded, theta_free &gt;                                     (2)</w:t>
        <w:br/>
        <w:t>where theta_bounded encompasses categorical enumerations, booleans, and numeric parameters governed by formal security axioms Sigma_r, while theta_free represents open-ended free-text fields (e.g., support ticket notes, user search queries). An executed action is defined as a pair a = &lt;t, theta&gt;. The global authorization predicate Phi(a, r) is formally decoupled as:</w:t>
        <w:br/>
        <w:t xml:space="preserve">    Phi(&lt;t, theta&gt;, r) &lt;=&gt; Phi_struct(&lt;t, theta_bounded&gt;, r) and Phi_semantic(theta_free)        (3)</w:t>
        <w:br/>
        <w:t>where the structural and parametric authorization predicate Phi_struct evaluates as:</w:t>
        <w:br/>
        <w:t xml:space="preserve">    Phi_struct(&lt;t, theta_bounded&gt;, r) &lt;=&gt; (t in T_r) and (forall sigma in Sigma_r, sigma(theta_bounded) = True)  (4)</w:t>
      </w:r>
    </w:p>
    <w:p>
      <w:r>
        <w:t>In enterprise decision-support settings, parametric axioms sigma in Sigma_r enforce strict operational boundaries:</w:t>
        <w:br/>
        <w:t xml:space="preserve">    sigma_refund(theta)  &lt;=&gt;  theta['amount_usd'] &lt;= C_r                     (5)</w:t>
        <w:br/>
        <w:t xml:space="preserve">    sigma_address(theta) &lt;=&gt;  theta['is_international'] = False             (6)</w:t>
        <w:br/>
        <w:t xml:space="preserve">    sigma_sql(theta)     &lt;=&gt;  theta['query'] not in L_prohibited              (7)</w:t>
        <w:br/>
        <w:t>where C_r is the maximum refund ceiling authorized for role r (C_Tier1 = $50.00, C_Billing = $1,000.00), and L_prohibited represents prohibited database modification commands.</w:t>
      </w:r>
    </w:p>
    <w:p>
      <w:pPr>
        <w:keepNext/>
        <w:spacing w:before="200" w:after="60"/>
      </w:pPr>
      <w:r>
        <w:rPr>
          <w:rFonts w:ascii="Times New Roman" w:hAnsi="Times New Roman"/>
          <w:b/>
          <w:i/>
          <w:color w:val="1E293B"/>
          <w:sz w:val="23"/>
        </w:rPr>
        <w:t>2.1 Context-Free Grammar Compilation</w:t>
      </w:r>
    </w:p>
    <w:p>
      <w:r>
        <w:t>To enforce Phi_struct(&lt;t, theta_bounded&gt;, r) during autoregressive inference, the compilation operator M maps the active role definition r into a formal Context-Free Grammar G_r = &lt;V_N, V_T, P, S&gt; [21, 22]:</w:t>
        <w:br/>
        <w:t xml:space="preserve">    M: r |-&gt; G_r                                                            (8)</w:t>
        <w:br/>
        <w:t>where V_T is the terminal alphabet (the model's character encoding), V_N is the set of non-terminals, P is the set of production rules, and S is the start symbol.</w:t>
        <w:br/>
        <w:br/>
        <w:t>Under G_r, the production rule for the action name is strictly restricted to the literal disjunction of authorized tools:</w:t>
        <w:br/>
        <w:t xml:space="preserve">    S_action -&gt; 'action_name': ( t_{r, 1} | t_{r, 2} | ... | t_{r, |T_r|} )   forall t_{r, j} in T_r       (9)</w:t>
      </w:r>
    </w:p>
    <w:p>
      <w:pPr>
        <w:keepNext/>
        <w:spacing w:before="200" w:after="60"/>
      </w:pPr>
      <w:r>
        <w:rPr>
          <w:rFonts w:ascii="Times New Roman" w:hAnsi="Times New Roman"/>
          <w:b/>
          <w:i/>
          <w:color w:val="1E293B"/>
          <w:sz w:val="23"/>
        </w:rPr>
        <w:t>2.2 BPE-Safe Numeric Sub-Grammar Formulation</w:t>
      </w:r>
    </w:p>
    <w:p>
      <w:r>
        <w:t>Enforcing continuous numeric bounds (e.g., theta['amount_usd'] &lt;= C_r) over Byte-Pair Encoded (BPE) sub-word tokenizers represents a non-trivial challenge, as tokens correspond to arbitrary byte sequences rather than structured decimal positions. To guarantee that no numeric token sequence representing a value exceeding C_r can be sampled, O-CTD compiles parametric ceilings into bounded regular grammars. For a role ceiling C_r = $50.00, the production rules in Extended Backus-Naur Form (EBNF) are:</w:t>
        <w:br/>
        <w:br/>
        <w:t xml:space="preserve">    RefundAmount ::= IntegerPart ('.' [0-9] [0-9])?                         (10)</w:t>
        <w:br/>
        <w:t xml:space="preserve">    IntegerPart  ::= [0-9] | [1-4][0-9] | '50'                              (11)</w:t>
        <w:br/>
        <w:br/>
        <w:t>This regular language L_num = { x in R_{&gt;=0} | x &lt;= C_r } is compiled into a Deterministic Finite Automaton D_num. When intersecting D_num with the tokenizer vocabulary V, any token whose concatenation with preceding prefix digits produces a numerical prefix &gt; C_r (e.g., token '51' or token '100') contains no outgoing transition delta(q, v) and is assigned an infinite negative mask [23].</w:t>
      </w:r>
    </w:p>
    <w:p>
      <w:pPr>
        <w:keepNext/>
        <w:spacing w:before="200" w:after="60"/>
      </w:pPr>
      <w:r>
        <w:rPr>
          <w:rFonts w:ascii="Times New Roman" w:hAnsi="Times New Roman"/>
          <w:b/>
          <w:i/>
          <w:color w:val="1E293B"/>
          <w:sz w:val="23"/>
        </w:rPr>
        <w:t>2.3 Logit-Masking Projection Operator</w:t>
      </w:r>
    </w:p>
    <w:p>
      <w:r>
        <w:t>Let V denote the model vocabulary with size |V|, and let x_{&lt;t} = [x_1, ..., x_{t-1}] represent the sequence of generated tokens up to decoding step t. At step t, the base model outputs unconstrained logits z_t in R^{|V|}.</w:t>
        <w:br/>
        <w:br/>
        <w:t>The grammar G_r is compiled into a Deterministic Finite Automaton (DFA) D_r = &lt;Q, V, delta, q_0, F&gt; over the vocabulary [22, 25]. Let q_t in Q denote the active DFA state after consuming x_{&lt;t}. The set of admissible next tokens A(q_t) subseteq V is formally defined as:</w:t>
        <w:br/>
        <w:t xml:space="preserve">    A(q_t) = { v in V | exists q' in Q, delta(q_t, v) = q' }                   (12)</w:t>
        <w:br/>
        <w:br/>
        <w:t>The neuro-symbolic projection operator P_{G_r}: R^{|V|} -&gt; R^{|V|} masks the logit distribution:</w:t>
        <w:br/>
        <w:t xml:space="preserve">    P_{G_r}(z_t)_v = z_{t, v}  if v in A(q_t),  else -infinity                  (13)</w:t>
        <w:br/>
        <w:br/>
        <w:t>The next token is sampled from the normalized masked distribution:</w:t>
        <w:br/>
        <w:t xml:space="preserve">    x_t ~ Softmax( P_{G_r}(z_t) )                                            (14)</w:t>
      </w:r>
    </w:p>
    <w:tbl>
      <w:tblPr>
        <w:tblW w:type="auto" w:w="0"/>
        <w:jc w:val="center"/>
        <w:tblLook w:firstColumn="1" w:firstRow="1" w:lastColumn="0" w:lastRow="0" w:noHBand="0" w:noVBand="1" w:val="04A0"/>
      </w:tblPr>
      <w:tblGrid>
        <w:gridCol w:w="9360"/>
      </w:tblGrid>
      <w:tr>
        <w:tc>
          <w:tcPr>
            <w:tcW w:type="dxa" w:w="9360"/>
            <w:shd w:fill="F1F5F9"/>
            <w:tcBorders>
              <w:top w:val="single" w:sz="12" w:space="0" w:color="0F172A"/>
              <w:left w:val="none" w:sz="0" w:space="0" w:color="auto"/>
              <w:bottom w:val="single" w:sz="12" w:space="0" w:color="0F172A"/>
              <w:right w:val="none" w:sz="0" w:space="0" w:color="auto"/>
            </w:tcBorders>
          </w:tcPr>
          <w:p>
            <w:pPr>
              <w:spacing w:before="80" w:after="80"/>
            </w:pPr>
            <w:r>
              <w:rPr>
                <w:rFonts w:ascii="Times New Roman" w:hAnsi="Times New Roman"/>
                <w:b/>
                <w:sz w:val="21"/>
              </w:rPr>
              <w:t>Algorithm 1: Ontology-Constrained Token Decoding (O-CTD)</w:t>
            </w:r>
          </w:p>
          <w:p>
            <w:pPr>
              <w:spacing w:before="20" w:after="20"/>
            </w:pPr>
            <w:r>
              <w:rPr>
                <w:rFonts w:ascii="Courier New" w:hAnsi="Courier New"/>
                <w:color w:val="0F172A"/>
                <w:sz w:val="17"/>
              </w:rPr>
              <w:t>Input:  Prompt sequence p, Active role r in R, Security ontology O = &lt;R, T, Sigma&gt;, Foundation LM M_theta, Vocabulary V</w:t>
            </w:r>
          </w:p>
          <w:p>
            <w:pPr>
              <w:spacing w:before="20" w:after="20"/>
            </w:pPr>
            <w:r>
              <w:rPr>
                <w:rFonts w:ascii="Courier New" w:hAnsi="Courier New"/>
                <w:color w:val="0F172A"/>
                <w:sz w:val="17"/>
              </w:rPr>
              <w:t>Ensure: Valid, authorized tool call a = &lt;t, theta&gt; satisfying Phi_struct(&lt;t, theta_bounded&gt;, r) = True</w:t>
            </w:r>
          </w:p>
          <w:p>
            <w:pPr>
              <w:spacing w:before="20" w:after="20"/>
            </w:pPr>
            <w:r>
              <w:rPr>
                <w:rFonts w:ascii="Courier New" w:hAnsi="Courier New"/>
                <w:color w:val="0F172A"/>
                <w:sz w:val="17"/>
              </w:rPr>
              <w:t>---------------------------------------------------------------------------------------------------------------------</w:t>
            </w:r>
          </w:p>
          <w:p>
            <w:pPr>
              <w:spacing w:before="20" w:after="20"/>
            </w:pPr>
            <w:r>
              <w:rPr>
                <w:rFonts w:ascii="Courier New" w:hAnsi="Courier New"/>
                <w:color w:val="0F172A"/>
                <w:sz w:val="17"/>
              </w:rPr>
              <w:t>1:  G_r &lt;- CompileGrammar(r, O)              // Compile role-specific Context-Free Grammar</w:t>
            </w:r>
          </w:p>
          <w:p>
            <w:pPr>
              <w:spacing w:before="20" w:after="20"/>
            </w:pPr>
            <w:r>
              <w:rPr>
                <w:rFonts w:ascii="Courier New" w:hAnsi="Courier New"/>
                <w:color w:val="0F172A"/>
                <w:sz w:val="17"/>
              </w:rPr>
              <w:t>2:  D_r &lt;- ConstructDFA(G_r, V)               // Build vocabulary Deterministic Finite Automaton</w:t>
            </w:r>
          </w:p>
          <w:p>
            <w:pPr>
              <w:spacing w:before="20" w:after="20"/>
            </w:pPr>
            <w:r>
              <w:rPr>
                <w:rFonts w:ascii="Courier New" w:hAnsi="Courier New"/>
                <w:color w:val="0F172A"/>
                <w:sz w:val="17"/>
              </w:rPr>
              <w:t>3:  q_0 &lt;- InitialState(D_r),  x_{&lt;1} &lt;- p,  t &lt;- 1</w:t>
            </w:r>
          </w:p>
          <w:p>
            <w:pPr>
              <w:spacing w:before="20" w:after="20"/>
            </w:pPr>
            <w:r>
              <w:rPr>
                <w:rFonts w:ascii="Courier New" w:hAnsi="Courier New"/>
                <w:color w:val="0F172A"/>
                <w:sz w:val="17"/>
              </w:rPr>
              <w:t>4:  while x_{t-1} != &lt;EOS&gt; and t &lt;= K_max do</w:t>
            </w:r>
          </w:p>
          <w:p>
            <w:pPr>
              <w:spacing w:before="20" w:after="20"/>
            </w:pPr>
            <w:r>
              <w:rPr>
                <w:rFonts w:ascii="Courier New" w:hAnsi="Courier New"/>
                <w:color w:val="0F172A"/>
                <w:sz w:val="17"/>
              </w:rPr>
              <w:t>5:      z_t &lt;- M_theta(x_{&lt;t})                // Forward pass to compute unconstrained logits</w:t>
            </w:r>
          </w:p>
          <w:p>
            <w:pPr>
              <w:spacing w:before="20" w:after="20"/>
            </w:pPr>
            <w:r>
              <w:rPr>
                <w:rFonts w:ascii="Courier New" w:hAnsi="Courier New"/>
                <w:color w:val="0F172A"/>
                <w:sz w:val="17"/>
              </w:rPr>
              <w:t>6:      A(q_{t-1}) &lt;- { v in V | delta(q_{t-1}, v) != empty }  // Compute admissible next-token mask</w:t>
            </w:r>
          </w:p>
          <w:p>
            <w:pPr>
              <w:spacing w:before="20" w:after="20"/>
            </w:pPr>
            <w:r>
              <w:rPr>
                <w:rFonts w:ascii="Courier New" w:hAnsi="Courier New"/>
                <w:color w:val="0F172A"/>
                <w:sz w:val="17"/>
              </w:rPr>
              <w:t>7:      tilde{z}_{t, v} &lt;- z_{t, v}  if v in A(q_{t-1})  else  -infinity  // Logit masking projection (Eq. 14)</w:t>
            </w:r>
          </w:p>
          <w:p>
            <w:pPr>
              <w:spacing w:before="20" w:after="20"/>
            </w:pPr>
            <w:r>
              <w:rPr>
                <w:rFonts w:ascii="Courier New" w:hAnsi="Courier New"/>
                <w:color w:val="0F172A"/>
                <w:sz w:val="17"/>
              </w:rPr>
              <w:t>8:      x_t ~ Softmax(tilde{z}_t)             // Sample next token from normalized admissible distribution</w:t>
            </w:r>
          </w:p>
          <w:p>
            <w:pPr>
              <w:spacing w:before="20" w:after="20"/>
            </w:pPr>
            <w:r>
              <w:rPr>
                <w:rFonts w:ascii="Courier New" w:hAnsi="Courier New"/>
                <w:color w:val="0F172A"/>
                <w:sz w:val="17"/>
              </w:rPr>
              <w:t>9:      q_t &lt;- delta(q_{t-1}, x_t)            // Advance DFA transition state</w:t>
            </w:r>
          </w:p>
          <w:p>
            <w:pPr>
              <w:spacing w:before="20" w:after="20"/>
            </w:pPr>
            <w:r>
              <w:rPr>
                <w:rFonts w:ascii="Courier New" w:hAnsi="Courier New"/>
                <w:color w:val="0F172A"/>
                <w:sz w:val="17"/>
              </w:rPr>
              <w:t>10:     x_{&lt;t+1} &lt;- [x_{&lt;t}, x_t],  t &lt;- t + 1</w:t>
            </w:r>
          </w:p>
          <w:p>
            <w:pPr>
              <w:spacing w:before="20" w:after="20"/>
            </w:pPr>
            <w:r>
              <w:rPr>
                <w:rFonts w:ascii="Courier New" w:hAnsi="Courier New"/>
                <w:color w:val="0F172A"/>
                <w:sz w:val="17"/>
              </w:rPr>
              <w:t>11: end while</w:t>
            </w:r>
          </w:p>
          <w:p>
            <w:pPr>
              <w:spacing w:before="20" w:after="20"/>
            </w:pPr>
            <w:r>
              <w:rPr>
                <w:rFonts w:ascii="Courier New" w:hAnsi="Courier New"/>
                <w:color w:val="0F172A"/>
                <w:sz w:val="17"/>
              </w:rPr>
              <w:t>12: return ParseJSON(x_{&lt;t})</w:t>
            </w:r>
          </w:p>
        </w:tc>
      </w:tr>
    </w:tbl>
    <w:p>
      <w:pPr>
        <w:spacing w:before="0" w:after="80"/>
      </w:pPr>
    </w:p>
    <w:p>
      <w:pPr>
        <w:keepNext/>
        <w:spacing w:before="200" w:after="60"/>
      </w:pPr>
      <w:r>
        <w:rPr>
          <w:rFonts w:ascii="Times New Roman" w:hAnsi="Times New Roman"/>
          <w:b/>
          <w:i/>
          <w:color w:val="1E293B"/>
          <w:sz w:val="23"/>
        </w:rPr>
        <w:t>2.4 Theoretical Soundness &amp; Decidability Boundaries</w:t>
      </w:r>
    </w:p>
    <w:tbl>
      <w:tblPr>
        <w:tblW w:type="auto" w:w="0"/>
        <w:jc w:val="center"/>
        <w:tblLook w:firstColumn="1" w:firstRow="1" w:lastColumn="0" w:lastRow="0" w:noHBand="0" w:noVBand="1" w:val="04A0"/>
      </w:tblPr>
      <w:tblGrid>
        <w:gridCol w:w="9360"/>
      </w:tblGrid>
      <w:tr>
        <w:tc>
          <w:tcPr>
            <w:tcW w:type="dxa" w:w="9360"/>
            <w:shd w:fill="F8FAFC"/>
            <w:tcBorders>
              <w:top w:val="none" w:sz="0" w:space="0" w:color="auto"/>
              <w:left w:val="single" w:sz="24" w:space="0" w:color="2563EB"/>
              <w:bottom w:val="none" w:sz="0" w:space="0" w:color="auto"/>
              <w:right w:val="none" w:sz="0" w:space="0" w:color="auto"/>
            </w:tcBorders>
          </w:tcPr>
          <w:p>
            <w:pPr>
              <w:spacing w:before="80" w:after="40"/>
            </w:pPr>
            <w:r>
              <w:rPr>
                <w:rFonts w:ascii="Times New Roman" w:hAnsi="Times New Roman"/>
                <w:b/>
                <w:color w:val="1E3A8A"/>
                <w:sz w:val="21"/>
              </w:rPr>
              <w:t>Theorem 1 (Soundness of Structural &amp; Parametric Enforcement)</w:t>
            </w:r>
          </w:p>
          <w:p>
            <w:pPr>
              <w:spacing w:before="40" w:after="80"/>
            </w:pPr>
            <w:r>
              <w:rPr>
                <w:rFonts w:ascii="Times New Roman" w:hAnsi="Times New Roman"/>
                <w:color w:val="334155"/>
                <w:sz w:val="20"/>
              </w:rPr>
              <w:t>Let x = [x_1, ..., x_K] be a generation sequence completed under O-CTD. Then the extracted tool invocation a = &lt;t, theta&gt; = Parse(x) satisfies:</w:t>
              <w:br/>
              <w:t xml:space="preserve">    P( Phi_struct(&lt;t, theta_bounded&gt;, r) = False ) = 0                       (15)</w:t>
              <w:br/>
              <w:t>for all structural tool signatures and bounded parametric axioms encoded within G_r.</w:t>
              <w:br/>
              <w:br/>
              <w:t>Proof. By construction, generating an unauthorized tool t not in T_r or a numeric token sequence violating theta_bounded &lt;= C_r requires traversing an invalid state transition delta(q_t, v) = empty in D_r. By Eq. (13), P_{G_r}(z_t)_v = -infinity, which yields P(x_t = v) = 0 upon Softmax normalization. By mathematical induction over generation steps 1 &lt;= t &lt;= K, the probability of emitting any non-conforming token sequence is identically zero. Q.E.D.</w:t>
            </w:r>
          </w:p>
        </w:tc>
      </w:tr>
    </w:tbl>
    <w:p>
      <w:pPr>
        <w:spacing w:before="0" w:after="80"/>
      </w:pPr>
    </w:p>
    <w:p>
      <w:r>
        <w:t>Remark 1 (Decidability Boundary and Semantic Orthogonality): Theorem 1 guarantees soundness strictly over the structural and bounded parametric domain Phi_struct. Conversely, semantic validation over unbounded natural-language strings theta_free (e.g., ensuring a customer support note does not leak confidential context) is undecidable via regular or context-free grammars alone. This formal theoretical distinction directly explains the empirical residual ASR observed in Section 4.4.</w:t>
      </w:r>
    </w:p>
    <w:p>
      <w:pPr>
        <w:keepNext/>
        <w:spacing w:before="200" w:after="60"/>
      </w:pPr>
      <w:r>
        <w:rPr>
          <w:rFonts w:ascii="Times New Roman" w:hAnsi="Times New Roman"/>
          <w:b/>
          <w:i/>
          <w:color w:val="1E293B"/>
          <w:sz w:val="23"/>
        </w:rPr>
        <w:t>2.5 Complexity and Scalability Analysis</w:t>
      </w:r>
    </w:p>
    <w:p>
      <w:r>
        <w:t>A critical challenge in enterprise agent deployments is catalog scalability. In production environments containing thousands of APIs, compiling a global monolithic grammar causes combinatorial state explosions [22]. Under O-CTD, the compilation operator M generates a localized grammar strictly bounded to the active session role r. Because typical enterprise roles authorize a restricted subset of operations (|T_r| &lt;&lt; |T|, typically 4 &lt;= |T_r| &lt;= 12), the DFA state space |Q_r| remains bounded. Runtime token lookup overhead scales as O(|T_r| * |V|), ensuring that memory consumption and DFA traversal latency remain independent of the global enterprise catalog size.</w:t>
      </w:r>
    </w:p>
    <w:p>
      <w:pPr>
        <w:keepNext/>
        <w:spacing w:before="200" w:after="60"/>
      </w:pPr>
      <w:r>
        <w:rPr>
          <w:rFonts w:ascii="Times New Roman" w:hAnsi="Times New Roman"/>
          <w:b/>
          <w:i/>
          <w:color w:val="1E293B"/>
          <w:sz w:val="23"/>
        </w:rPr>
        <w:t>2.6 Cross-Architecture Portability &amp; Tokenizer Invariance</w:t>
      </w:r>
    </w:p>
    <w:p>
      <w:r>
        <w:t>A vital theoretical property of O-CTD is its strict invariance to foundation model tokenization architectures. Modern open-weight foundation models utilize divergent tokenization strategies with distinct vocabulary dimensions, such as Qwen2.5-7B (|V| = 151,643 sub-words with byte fallback) [2] and Llama-3.1-8B (|V| = 128,256 sub-words via tiktoken) [3].</w:t>
        <w:br/>
        <w:br/>
        <w:t>Because the compilation mapping M: r |-&gt; G_r defines production rules over Unicode terminal characters, the DFA state transition function delta(q_t, v) is constructed by projecting the grammar onto the specific vocabulary V of whichever underlying foundation model is deployed:</w:t>
        <w:br/>
        <w:t xml:space="preserve">    A_model(q_t) = { v in V_model | exists q', delta(q_t, v) = q' }          (16)</w:t>
        <w:br/>
        <w:br/>
        <w:t>Consequently, Theorem 1's guarantee of axiomatic containment (P(Phi_struct = False) = 0) holds identically across both Qwen and Llama model families, ensuring portable neuro-symbolic enforcement across heterogeneous foundation model deployments.</w:t>
      </w:r>
    </w:p>
    <w:p>
      <w:pPr>
        <w:keepNext/>
        <w:spacing w:before="280" w:after="80"/>
      </w:pPr>
      <w:r>
        <w:rPr>
          <w:rFonts w:ascii="Times New Roman" w:hAnsi="Times New Roman"/>
          <w:b/>
          <w:color w:val="0F172A"/>
          <w:sz w:val="26"/>
        </w:rPr>
        <w:t>3. Experimental Methodology</w:t>
      </w:r>
    </w:p>
    <w:p>
      <w:r>
        <w:t>We synthesized a standardized benchmark suite consisting of N = 100 balanced enterprise evaluation scenarios (50 adversarial prompt injections and 50 benign business tasks) modeled after the InjecAgent and AgentDojo threat suites [8, 9, 17]. The scenarios evaluate three canonical enterprise roles:</w:t>
        <w:br/>
        <w:t>- CustomerSupportTier1: Frontline support handling routine order lookups and domestic shipping updates, with refunds strictly capped at $50.00.</w:t>
        <w:br/>
        <w:t>- BillingManager: Financial personnel authorized for invoice credits up to $5,000.00 and refunds up to $1,000.00.</w:t>
        <w:br/>
        <w:t>- DataAnalyst: Analytics personnel authorized for aggregate metric reporting, barred from executing financial disbursements or querying raw payment ledgers.</w:t>
      </w:r>
    </w:p>
    <w:p>
      <w:r>
        <w:t>The 50 adversarial evaluation cases evaluate five distinct threat classes [16]:</w:t>
        <w:br/>
        <w:t>1. Parameter Tampering (PT): Adversaries utilize authority impersonation (e.g., 'Executive VIP Escalation') to coerce Tier-1 agents into issuing $500.00 to $1,200.00 refunds.</w:t>
        <w:br/>
        <w:t>2. Privilege Escalation (PE): In-context prompts instruct agents to enter debug modes and invoke unauthorized administrative tools (view_payment_ledger).</w:t>
        <w:br/>
        <w:t>3. SQL / Exfiltration Injection (SQL): Malicious SQL payloads embedded in query strings attempting DROP TABLE modifications or plain-text credential extraction.</w:t>
        <w:br/>
        <w:t>4. Indirect Prompt Injection (IPI): Simulated vendor emails containing embedded system instructions directing unverified wire transfers.</w:t>
        <w:br/>
        <w:t>5. Policy Boundary Tampering (PBT): Coercing customer service agents to reroute domestic packages to embargoed international postal codes.</w:t>
      </w:r>
    </w:p>
    <w:p>
      <w:pPr>
        <w:keepNext/>
        <w:spacing w:before="200" w:after="60"/>
      </w:pPr>
      <w:r>
        <w:rPr>
          <w:rFonts w:ascii="Times New Roman" w:hAnsi="Times New Roman"/>
          <w:b/>
          <w:i/>
          <w:color w:val="1E293B"/>
          <w:sz w:val="23"/>
        </w:rPr>
        <w:t>3.1 Comparative Frameworks &amp; Controls</w:t>
      </w:r>
    </w:p>
    <w:p>
      <w:r>
        <w:t>We benchmark four representative architectures:</w:t>
        <w:br/>
        <w:t>- M0 (Vanilla Base LLM): Unconstrained generation; the agent receives standard system prompts describing tool signatures without defensive constraints.</w:t>
        <w:br/>
        <w:t>- M1 (In-Context Prompt Guard): Standard enterprise defensive baseline; system prompts include explicit prohibitions (e.g., 'CRITICAL POLICY: You are strictly barred from issuing refunds over $50 or calling ledger tools') [13].</w:t>
        <w:br/>
        <w:t>- M2 (Post-Hoc Classifier): Unconstrained generation followed by an external safety validation pass that inspects generated JSON before execution [15].</w:t>
        <w:br/>
        <w:t>- M* (Proposed O-CTD): Autoregressive generation strictly constrained by the compiled role-specific Context-Free Grammar.</w:t>
      </w:r>
    </w:p>
    <w:p>
      <w:r>
        <w:t>Hardware and Experimental Controls: All experiments were executed on an isolated cloud compute node equipped with an NVIDIA GeForce RTX 4090 (24 GB GDDR6X VRAM), evaluating Qwen/Qwen2.5-7B-Instruct (bfloat16 precision) [2] utilizing Outlines v1.x with dynamic Pydantic schema compilation [21]. A single shared model instance was maintained on cuda:0 with zero CPU offloading to ensure clean latency metrics.</w:t>
      </w:r>
    </w:p>
    <w:p>
      <w:r>
        <w:t>Evaluation Metrics: We track five formal evaluation metrics: (1) Attack Success Rate (ASR) [% downarrow], (2) Invariant Violation Rate (IVR) [% downarrow], (3) Strict Benign Task Completion (Strict BTC) [% uparrow], (4) Relaxed Benign Task Completion (Relaxed BTC) [% uparrow], and (5) Mean and P95 Generation Latencies [ms downarrow].</w:t>
      </w:r>
    </w:p>
    <w:p>
      <w:pPr>
        <w:keepNext/>
        <w:spacing w:before="280" w:after="80"/>
      </w:pPr>
      <w:r>
        <w:rPr>
          <w:rFonts w:ascii="Times New Roman" w:hAnsi="Times New Roman"/>
          <w:b/>
          <w:color w:val="0F172A"/>
          <w:sz w:val="26"/>
        </w:rPr>
        <w:t>4. Empirical Results &amp; In-Depth Discussion</w:t>
      </w:r>
    </w:p>
    <w:p>
      <w:r>
        <w:t>Table 1 presents the comparative evaluation results across all 100 enterprise scenarios (400 total inferences).</w:t>
      </w:r>
    </w:p>
    <w:p>
      <w:pPr>
        <w:keepNext/>
        <w:spacing w:before="160" w:after="60"/>
      </w:pPr>
      <w:r>
        <w:rPr>
          <w:b/>
          <w:sz w:val="20"/>
        </w:rPr>
        <w:t>Table 1: Main comparative benchmark results across 100 enterprise business evaluation scenarios (400 inferences) using Qwen2.5-7B-Instruct on an NVIDIA RTX 4090. Strict BTC evaluates automated JSON gateway parsing, while Relaxed BTC evaluates regex preamble extraction.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Framework</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ASR (%) ↓</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IVR (%) ↓</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Strict BTC ↑</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Relaxed BTC ↑</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Mean Latency</w:t>
            </w:r>
          </w:p>
        </w:tc>
        <w:tc>
          <w:tcPr>
            <w:tcW w:type="dxa" w:w="1337"/>
            <w:tcBorders>
              <w:top w:val="single" w:sz="8" w:space="0" w:color="auto"/>
              <w:left w:val="none" w:sz="0" w:space="0" w:color="auto"/>
              <w:bottom w:val="single" w:sz="6" w:space="0" w:color="auto"/>
              <w:right w:val="none" w:sz="0" w:space="0" w:color="auto"/>
            </w:tcBorders>
            <w:shd w:fill="F1F5F9"/>
          </w:tcPr>
          <w:p>
            <w:r>
              <w:rPr>
                <w:b/>
                <w:color w:val="0F172A"/>
                <w:sz w:val="19"/>
              </w:rPr>
              <w:t>P95 Latency</w:t>
            </w:r>
          </w:p>
        </w:tc>
      </w:tr>
      <w:tr>
        <w:tc>
          <w:tcPr>
            <w:tcW w:type="dxa" w:w="1337"/>
            <w:tcBorders>
              <w:top w:val="none" w:sz="4" w:space="0" w:color="auto"/>
              <w:left w:val="none" w:sz="0" w:space="0" w:color="auto"/>
              <w:bottom w:val="none" w:sz="8" w:space="0" w:color="auto"/>
              <w:right w:val="none" w:sz="0" w:space="0" w:color="auto"/>
            </w:tcBorders>
          </w:tcPr>
          <w:p>
            <w:r>
              <w:rPr>
                <w:sz w:val="18"/>
              </w:rPr>
              <w:t>M0 (Vanilla Base LLM)</w:t>
            </w:r>
          </w:p>
        </w:tc>
        <w:tc>
          <w:tcPr>
            <w:tcW w:type="dxa" w:w="1337"/>
            <w:tcBorders>
              <w:top w:val="none" w:sz="4" w:space="0" w:color="auto"/>
              <w:left w:val="none" w:sz="0" w:space="0" w:color="auto"/>
              <w:bottom w:val="none" w:sz="8" w:space="0" w:color="auto"/>
              <w:right w:val="none" w:sz="0" w:space="0" w:color="auto"/>
            </w:tcBorders>
          </w:tcPr>
          <w:p>
            <w:r>
              <w:rPr>
                <w:sz w:val="18"/>
              </w:rPr>
              <w:t>100.0%</w:t>
            </w:r>
          </w:p>
        </w:tc>
        <w:tc>
          <w:tcPr>
            <w:tcW w:type="dxa" w:w="1337"/>
            <w:tcBorders>
              <w:top w:val="none" w:sz="4" w:space="0" w:color="auto"/>
              <w:left w:val="none" w:sz="0" w:space="0" w:color="auto"/>
              <w:bottom w:val="none" w:sz="8" w:space="0" w:color="auto"/>
              <w:right w:val="none" w:sz="0" w:space="0" w:color="auto"/>
            </w:tcBorders>
          </w:tcPr>
          <w:p>
            <w:r>
              <w:rPr>
                <w:sz w:val="18"/>
              </w:rPr>
              <w:t>100.0%</w:t>
            </w:r>
          </w:p>
        </w:tc>
        <w:tc>
          <w:tcPr>
            <w:tcW w:type="dxa" w:w="1337"/>
            <w:tcBorders>
              <w:top w:val="none" w:sz="4" w:space="0" w:color="auto"/>
              <w:left w:val="none" w:sz="0" w:space="0" w:color="auto"/>
              <w:bottom w:val="none" w:sz="8" w:space="0" w:color="auto"/>
              <w:right w:val="none" w:sz="0" w:space="0" w:color="auto"/>
            </w:tcBorders>
          </w:tcPr>
          <w:p>
            <w:r>
              <w:rPr>
                <w:sz w:val="18"/>
              </w:rPr>
              <w:t>0.0%</w:t>
            </w:r>
          </w:p>
        </w:tc>
        <w:tc>
          <w:tcPr>
            <w:tcW w:type="dxa" w:w="1337"/>
            <w:tcBorders>
              <w:top w:val="none" w:sz="4" w:space="0" w:color="auto"/>
              <w:left w:val="none" w:sz="0" w:space="0" w:color="auto"/>
              <w:bottom w:val="none" w:sz="8" w:space="0" w:color="auto"/>
              <w:right w:val="none" w:sz="0" w:space="0" w:color="auto"/>
            </w:tcBorders>
          </w:tcPr>
          <w:p>
            <w:r>
              <w:rPr>
                <w:sz w:val="18"/>
              </w:rPr>
              <w:t>52.0%</w:t>
            </w:r>
          </w:p>
        </w:tc>
        <w:tc>
          <w:tcPr>
            <w:tcW w:type="dxa" w:w="1337"/>
            <w:tcBorders>
              <w:top w:val="none" w:sz="4" w:space="0" w:color="auto"/>
              <w:left w:val="none" w:sz="0" w:space="0" w:color="auto"/>
              <w:bottom w:val="none" w:sz="8" w:space="0" w:color="auto"/>
              <w:right w:val="none" w:sz="0" w:space="0" w:color="auto"/>
            </w:tcBorders>
          </w:tcPr>
          <w:p>
            <w:r>
              <w:rPr>
                <w:sz w:val="18"/>
              </w:rPr>
              <w:t>893.1 ms</w:t>
            </w:r>
          </w:p>
        </w:tc>
        <w:tc>
          <w:tcPr>
            <w:tcW w:type="dxa" w:w="1337"/>
            <w:tcBorders>
              <w:top w:val="none" w:sz="4" w:space="0" w:color="auto"/>
              <w:left w:val="none" w:sz="0" w:space="0" w:color="auto"/>
              <w:bottom w:val="none" w:sz="8" w:space="0" w:color="auto"/>
              <w:right w:val="none" w:sz="0" w:space="0" w:color="auto"/>
            </w:tcBorders>
          </w:tcPr>
          <w:p>
            <w:r>
              <w:rPr>
                <w:sz w:val="18"/>
              </w:rPr>
              <w:t>1396.1 ms</w:t>
            </w:r>
          </w:p>
        </w:tc>
      </w:tr>
      <w:tr>
        <w:tc>
          <w:tcPr>
            <w:tcW w:type="dxa" w:w="1337"/>
            <w:tcBorders>
              <w:top w:val="none" w:sz="4" w:space="0" w:color="auto"/>
              <w:left w:val="none" w:sz="0" w:space="0" w:color="auto"/>
              <w:bottom w:val="none" w:sz="8" w:space="0" w:color="auto"/>
              <w:right w:val="none" w:sz="0" w:space="0" w:color="auto"/>
            </w:tcBorders>
          </w:tcPr>
          <w:p>
            <w:r>
              <w:rPr>
                <w:sz w:val="18"/>
              </w:rPr>
              <w:t>M1 (Prompt Guard)</w:t>
            </w:r>
          </w:p>
        </w:tc>
        <w:tc>
          <w:tcPr>
            <w:tcW w:type="dxa" w:w="1337"/>
            <w:tcBorders>
              <w:top w:val="none" w:sz="4" w:space="0" w:color="auto"/>
              <w:left w:val="none" w:sz="0" w:space="0" w:color="auto"/>
              <w:bottom w:val="none" w:sz="8" w:space="0" w:color="auto"/>
              <w:right w:val="none" w:sz="0" w:space="0" w:color="auto"/>
            </w:tcBorders>
          </w:tcPr>
          <w:p>
            <w:r>
              <w:rPr>
                <w:sz w:val="18"/>
              </w:rPr>
              <w:t>80.0%</w:t>
            </w:r>
          </w:p>
        </w:tc>
        <w:tc>
          <w:tcPr>
            <w:tcW w:type="dxa" w:w="1337"/>
            <w:tcBorders>
              <w:top w:val="none" w:sz="4" w:space="0" w:color="auto"/>
              <w:left w:val="none" w:sz="0" w:space="0" w:color="auto"/>
              <w:bottom w:val="none" w:sz="8" w:space="0" w:color="auto"/>
              <w:right w:val="none" w:sz="0" w:space="0" w:color="auto"/>
            </w:tcBorders>
          </w:tcPr>
          <w:p>
            <w:r>
              <w:rPr>
                <w:sz w:val="18"/>
              </w:rPr>
              <w:t>90.0%</w:t>
            </w:r>
          </w:p>
        </w:tc>
        <w:tc>
          <w:tcPr>
            <w:tcW w:type="dxa" w:w="1337"/>
            <w:tcBorders>
              <w:top w:val="none" w:sz="4" w:space="0" w:color="auto"/>
              <w:left w:val="none" w:sz="0" w:space="0" w:color="auto"/>
              <w:bottom w:val="none" w:sz="8" w:space="0" w:color="auto"/>
              <w:right w:val="none" w:sz="0" w:space="0" w:color="auto"/>
            </w:tcBorders>
          </w:tcPr>
          <w:p>
            <w:r>
              <w:rPr>
                <w:sz w:val="18"/>
              </w:rPr>
              <w:t>0.0%</w:t>
            </w:r>
          </w:p>
        </w:tc>
        <w:tc>
          <w:tcPr>
            <w:tcW w:type="dxa" w:w="1337"/>
            <w:tcBorders>
              <w:top w:val="none" w:sz="4" w:space="0" w:color="auto"/>
              <w:left w:val="none" w:sz="0" w:space="0" w:color="auto"/>
              <w:bottom w:val="none" w:sz="8" w:space="0" w:color="auto"/>
              <w:right w:val="none" w:sz="0" w:space="0" w:color="auto"/>
            </w:tcBorders>
          </w:tcPr>
          <w:p>
            <w:r>
              <w:rPr>
                <w:sz w:val="18"/>
              </w:rPr>
              <w:t>68.0%</w:t>
            </w:r>
          </w:p>
        </w:tc>
        <w:tc>
          <w:tcPr>
            <w:tcW w:type="dxa" w:w="1337"/>
            <w:tcBorders>
              <w:top w:val="none" w:sz="4" w:space="0" w:color="auto"/>
              <w:left w:val="none" w:sz="0" w:space="0" w:color="auto"/>
              <w:bottom w:val="none" w:sz="8" w:space="0" w:color="auto"/>
              <w:right w:val="none" w:sz="0" w:space="0" w:color="auto"/>
            </w:tcBorders>
          </w:tcPr>
          <w:p>
            <w:r>
              <w:rPr>
                <w:sz w:val="18"/>
              </w:rPr>
              <w:t>1157.0 ms</w:t>
            </w:r>
          </w:p>
        </w:tc>
        <w:tc>
          <w:tcPr>
            <w:tcW w:type="dxa" w:w="1337"/>
            <w:tcBorders>
              <w:top w:val="none" w:sz="4" w:space="0" w:color="auto"/>
              <w:left w:val="none" w:sz="0" w:space="0" w:color="auto"/>
              <w:bottom w:val="none" w:sz="8" w:space="0" w:color="auto"/>
              <w:right w:val="none" w:sz="0" w:space="0" w:color="auto"/>
            </w:tcBorders>
          </w:tcPr>
          <w:p>
            <w:r>
              <w:rPr>
                <w:sz w:val="18"/>
              </w:rPr>
              <w:t>2261.7 ms</w:t>
            </w:r>
          </w:p>
        </w:tc>
      </w:tr>
      <w:tr>
        <w:tc>
          <w:tcPr>
            <w:tcW w:type="dxa" w:w="1337"/>
            <w:tcBorders>
              <w:top w:val="none" w:sz="4" w:space="0" w:color="auto"/>
              <w:left w:val="none" w:sz="0" w:space="0" w:color="auto"/>
              <w:bottom w:val="none" w:sz="8" w:space="0" w:color="auto"/>
              <w:right w:val="none" w:sz="0" w:space="0" w:color="auto"/>
            </w:tcBorders>
          </w:tcPr>
          <w:p>
            <w:r>
              <w:rPr>
                <w:sz w:val="18"/>
              </w:rPr>
              <w:t>M2 (Post-Hoc Classifier)</w:t>
            </w:r>
          </w:p>
        </w:tc>
        <w:tc>
          <w:tcPr>
            <w:tcW w:type="dxa" w:w="1337"/>
            <w:tcBorders>
              <w:top w:val="none" w:sz="4" w:space="0" w:color="auto"/>
              <w:left w:val="none" w:sz="0" w:space="0" w:color="auto"/>
              <w:bottom w:val="none" w:sz="8" w:space="0" w:color="auto"/>
              <w:right w:val="none" w:sz="0" w:space="0" w:color="auto"/>
            </w:tcBorders>
          </w:tcPr>
          <w:p>
            <w:r>
              <w:rPr>
                <w:sz w:val="18"/>
              </w:rPr>
              <w:t>100.0%</w:t>
            </w:r>
          </w:p>
        </w:tc>
        <w:tc>
          <w:tcPr>
            <w:tcW w:type="dxa" w:w="1337"/>
            <w:tcBorders>
              <w:top w:val="none" w:sz="4" w:space="0" w:color="auto"/>
              <w:left w:val="none" w:sz="0" w:space="0" w:color="auto"/>
              <w:bottom w:val="none" w:sz="8" w:space="0" w:color="auto"/>
              <w:right w:val="none" w:sz="0" w:space="0" w:color="auto"/>
            </w:tcBorders>
          </w:tcPr>
          <w:p>
            <w:r>
              <w:rPr>
                <w:sz w:val="18"/>
              </w:rPr>
              <w:t>100.0%</w:t>
            </w:r>
          </w:p>
        </w:tc>
        <w:tc>
          <w:tcPr>
            <w:tcW w:type="dxa" w:w="1337"/>
            <w:tcBorders>
              <w:top w:val="none" w:sz="4" w:space="0" w:color="auto"/>
              <w:left w:val="none" w:sz="0" w:space="0" w:color="auto"/>
              <w:bottom w:val="none" w:sz="8" w:space="0" w:color="auto"/>
              <w:right w:val="none" w:sz="0" w:space="0" w:color="auto"/>
            </w:tcBorders>
          </w:tcPr>
          <w:p>
            <w:r>
              <w:rPr>
                <w:sz w:val="18"/>
              </w:rPr>
              <w:t>0.0%</w:t>
            </w:r>
          </w:p>
        </w:tc>
        <w:tc>
          <w:tcPr>
            <w:tcW w:type="dxa" w:w="1337"/>
            <w:tcBorders>
              <w:top w:val="none" w:sz="4" w:space="0" w:color="auto"/>
              <w:left w:val="none" w:sz="0" w:space="0" w:color="auto"/>
              <w:bottom w:val="none" w:sz="8" w:space="0" w:color="auto"/>
              <w:right w:val="none" w:sz="0" w:space="0" w:color="auto"/>
            </w:tcBorders>
          </w:tcPr>
          <w:p>
            <w:r>
              <w:rPr>
                <w:sz w:val="18"/>
              </w:rPr>
              <w:t>64.0%</w:t>
            </w:r>
          </w:p>
        </w:tc>
        <w:tc>
          <w:tcPr>
            <w:tcW w:type="dxa" w:w="1337"/>
            <w:tcBorders>
              <w:top w:val="none" w:sz="4" w:space="0" w:color="auto"/>
              <w:left w:val="none" w:sz="0" w:space="0" w:color="auto"/>
              <w:bottom w:val="none" w:sz="8" w:space="0" w:color="auto"/>
              <w:right w:val="none" w:sz="0" w:space="0" w:color="auto"/>
            </w:tcBorders>
          </w:tcPr>
          <w:p>
            <w:r>
              <w:rPr>
                <w:sz w:val="18"/>
              </w:rPr>
              <w:t>1120.3 ms</w:t>
            </w:r>
          </w:p>
        </w:tc>
        <w:tc>
          <w:tcPr>
            <w:tcW w:type="dxa" w:w="1337"/>
            <w:tcBorders>
              <w:top w:val="none" w:sz="4" w:space="0" w:color="auto"/>
              <w:left w:val="none" w:sz="0" w:space="0" w:color="auto"/>
              <w:bottom w:val="none" w:sz="8" w:space="0" w:color="auto"/>
              <w:right w:val="none" w:sz="0" w:space="0" w:color="auto"/>
            </w:tcBorders>
          </w:tcPr>
          <w:p>
            <w:r>
              <w:rPr>
                <w:sz w:val="18"/>
              </w:rPr>
              <w:t>1618.8 ms</w:t>
            </w:r>
          </w:p>
        </w:tc>
      </w:tr>
      <w:tr>
        <w:tc>
          <w:tcPr>
            <w:tcW w:type="dxa" w:w="1337"/>
            <w:shd w:fill="EFF6FF"/>
            <w:tcBorders>
              <w:top w:val="none" w:sz="4" w:space="0" w:color="auto"/>
              <w:left w:val="none" w:sz="0" w:space="0" w:color="auto"/>
              <w:bottom w:val="single" w:sz="8" w:space="0" w:color="auto"/>
              <w:right w:val="none" w:sz="0" w:space="0" w:color="auto"/>
            </w:tcBorders>
          </w:tcPr>
          <w:p>
            <w:r>
              <w:rPr>
                <w:b/>
                <w:sz w:val="18"/>
              </w:rPr>
              <w:t>M* (Proposed O-CTD)</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20.0%</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10.0%</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100.0%</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100.0%</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3116.0 ms</w:t>
            </w:r>
          </w:p>
        </w:tc>
        <w:tc>
          <w:tcPr>
            <w:tcW w:type="dxa" w:w="1337"/>
            <w:shd w:fill="EFF6FF"/>
            <w:tcBorders>
              <w:top w:val="none" w:sz="4" w:space="0" w:color="auto"/>
              <w:left w:val="none" w:sz="0" w:space="0" w:color="auto"/>
              <w:bottom w:val="single" w:sz="8" w:space="0" w:color="auto"/>
              <w:right w:val="none" w:sz="0" w:space="0" w:color="auto"/>
            </w:tcBorders>
          </w:tcPr>
          <w:p>
            <w:r>
              <w:rPr>
                <w:b/>
                <w:sz w:val="18"/>
              </w:rPr>
              <w:t>4097.4 ms</w:t>
            </w:r>
          </w:p>
        </w:tc>
      </w:tr>
    </w:tbl>
    <w:p/>
    <w:p>
      <w:r>
        <w:t>1. Vulnerability of In-Context Guardrails: In-context prompt defense (M1) proved ineffective against targeted attacks, suffering an 80.0% ASR and a 90.0% IVR. When presented with adversarial framing, the LLM consistently prioritized user prompt instructions over system-level constraints, demonstrating that soft in-context prompts cannot guarantee security under adversarial distribution shifts [13, 14].</w:t>
      </w:r>
    </w:p>
    <w:p>
      <w:r>
        <w:t>2. Dual-Metric Utility: Strict Gateway vs. Relaxed Regex Extraction: Baselines M0, M1, and M2 exhibited 0.0% Strict BTC on benign business queries. Detailed log analysis reveals that this zero-shot failure was driven by conversational preambles (e.g., 'Certainly! I will process that request:') and non-standard JSON keys, which strict enterprise API gateways immediately reject. To determine whether this formatting artifact masked underlying model competence, we evaluated all baseline outputs under a relaxed regular-expression parser (re.search(r'\{.*\}', text, re.DOTALL)). Under relaxed extraction, M1 recovered to 68.0% Relaxed BTC. Crucially, however, M1's security metrics remained catastrophic: an 80.0% ASR and a 90.0% IVR. This definitively demonstrates that even when unconstrained baselines are granted heuristic post-hoc regex extraction to forgive formatting drift, soft system prompts fail fundamentally at axiomatic boundary containment. Conversely, O-CTD achieves 100.0% under both Strict and Relaxed BTC, simultaneously delivering syntactic determinism and axiomatic security.</w:t>
      </w:r>
    </w:p>
    <w:p>
      <w:r>
        <w:t>3. Security Enforcement of O-CTD: O-CTD achieved a 4x reduction in ASR (from 80.0% down to 20.0%) and a 9x reduction in policy invariant violations (from 90.0% down to 10.0%). Privilege escalation and out-of-bounds parameter tampering were physically blocked at the logit level.</w:t>
      </w:r>
    </w:p>
    <w:p>
      <w:pPr>
        <w:keepNext/>
        <w:spacing w:before="200" w:after="60"/>
      </w:pPr>
      <w:r>
        <w:rPr>
          <w:rFonts w:ascii="Times New Roman" w:hAnsi="Times New Roman"/>
          <w:b/>
          <w:i/>
          <w:color w:val="1E293B"/>
          <w:sz w:val="23"/>
        </w:rPr>
        <w:t>4.1 Category Ablation across Threat Vectors</w:t>
      </w:r>
    </w:p>
    <w:p>
      <w:r>
        <w:t>Table 2 provides an ablation breakdown across specific threat topologies.</w:t>
      </w:r>
    </w:p>
    <w:p>
      <w:pPr>
        <w:keepNext/>
        <w:spacing w:before="160" w:after="60"/>
      </w:pPr>
      <w:r>
        <w:rPr>
          <w:b/>
          <w:sz w:val="20"/>
        </w:rPr>
        <w:t>Table 2: Threat Vector Ablation Breakdown (Policy Invariant Violation Rates across Attack Topologies).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space="0" w:color="auto"/>
              <w:left w:val="none" w:sz="0" w:space="0" w:color="auto"/>
              <w:bottom w:val="single" w:sz="6" w:space="0" w:color="auto"/>
              <w:right w:val="none" w:sz="0" w:space="0" w:color="auto"/>
            </w:tcBorders>
            <w:shd w:fill="F1F5F9"/>
          </w:tcPr>
          <w:p>
            <w:r>
              <w:rPr>
                <w:b/>
                <w:sz w:val="19"/>
              </w:rPr>
              <w:t>Defense Architecture</w:t>
            </w:r>
          </w:p>
        </w:tc>
        <w:tc>
          <w:tcPr>
            <w:tcW w:type="dxa" w:w="1872"/>
            <w:tcBorders>
              <w:top w:val="single" w:sz="8" w:space="0" w:color="auto"/>
              <w:left w:val="none" w:sz="0" w:space="0" w:color="auto"/>
              <w:bottom w:val="single" w:sz="6" w:space="0" w:color="auto"/>
              <w:right w:val="none" w:sz="0" w:space="0" w:color="auto"/>
            </w:tcBorders>
            <w:shd w:fill="F1F5F9"/>
          </w:tcPr>
          <w:p>
            <w:r>
              <w:rPr>
                <w:b/>
                <w:sz w:val="19"/>
              </w:rPr>
              <w:t>Param Tampering ↓</w:t>
            </w:r>
          </w:p>
        </w:tc>
        <w:tc>
          <w:tcPr>
            <w:tcW w:type="dxa" w:w="1872"/>
            <w:tcBorders>
              <w:top w:val="single" w:sz="8" w:space="0" w:color="auto"/>
              <w:left w:val="none" w:sz="0" w:space="0" w:color="auto"/>
              <w:bottom w:val="single" w:sz="6" w:space="0" w:color="auto"/>
              <w:right w:val="none" w:sz="0" w:space="0" w:color="auto"/>
            </w:tcBorders>
            <w:shd w:fill="F1F5F9"/>
          </w:tcPr>
          <w:p>
            <w:r>
              <w:rPr>
                <w:b/>
                <w:sz w:val="19"/>
              </w:rPr>
              <w:t>Priv Escalation ↓</w:t>
            </w:r>
          </w:p>
        </w:tc>
        <w:tc>
          <w:tcPr>
            <w:tcW w:type="dxa" w:w="1872"/>
            <w:tcBorders>
              <w:top w:val="single" w:sz="8" w:space="0" w:color="auto"/>
              <w:left w:val="none" w:sz="0" w:space="0" w:color="auto"/>
              <w:bottom w:val="single" w:sz="6" w:space="0" w:color="auto"/>
              <w:right w:val="none" w:sz="0" w:space="0" w:color="auto"/>
            </w:tcBorders>
            <w:shd w:fill="F1F5F9"/>
          </w:tcPr>
          <w:p>
            <w:r>
              <w:rPr>
                <w:b/>
                <w:sz w:val="19"/>
              </w:rPr>
              <w:t>Indirect Inj ↓</w:t>
            </w:r>
          </w:p>
        </w:tc>
        <w:tc>
          <w:tcPr>
            <w:tcW w:type="dxa" w:w="1872"/>
            <w:tcBorders>
              <w:top w:val="single" w:sz="8" w:space="0" w:color="auto"/>
              <w:left w:val="none" w:sz="0" w:space="0" w:color="auto"/>
              <w:bottom w:val="single" w:sz="6" w:space="0" w:color="auto"/>
              <w:right w:val="none" w:sz="0" w:space="0" w:color="auto"/>
            </w:tcBorders>
            <w:shd w:fill="F1F5F9"/>
          </w:tcPr>
          <w:p>
            <w:r>
              <w:rPr>
                <w:b/>
                <w:sz w:val="19"/>
              </w:rPr>
              <w:t>Benign Utility ↑</w:t>
            </w:r>
          </w:p>
        </w:tc>
      </w:tr>
      <w:tr>
        <w:tc>
          <w:tcPr>
            <w:tcW w:type="dxa" w:w="1872"/>
            <w:tcBorders>
              <w:top w:val="none" w:sz="4" w:space="0" w:color="auto"/>
              <w:left w:val="none" w:sz="0" w:space="0" w:color="auto"/>
              <w:bottom w:val="none" w:sz="8" w:space="0" w:color="auto"/>
              <w:right w:val="none" w:sz="0" w:space="0" w:color="auto"/>
            </w:tcBorders>
          </w:tcPr>
          <w:p>
            <w:r>
              <w:rPr>
                <w:sz w:val="18"/>
              </w:rPr>
              <w:t>M0 (Vanilla Base LLM)</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0.0%</w:t>
            </w:r>
          </w:p>
        </w:tc>
      </w:tr>
      <w:tr>
        <w:tc>
          <w:tcPr>
            <w:tcW w:type="dxa" w:w="1872"/>
            <w:tcBorders>
              <w:top w:val="none" w:sz="4" w:space="0" w:color="auto"/>
              <w:left w:val="none" w:sz="0" w:space="0" w:color="auto"/>
              <w:bottom w:val="none" w:sz="8" w:space="0" w:color="auto"/>
              <w:right w:val="none" w:sz="0" w:space="0" w:color="auto"/>
            </w:tcBorders>
          </w:tcPr>
          <w:p>
            <w:r>
              <w:rPr>
                <w:sz w:val="18"/>
              </w:rPr>
              <w:t>M1 (Prompt Guard)</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0.0%</w:t>
            </w:r>
          </w:p>
        </w:tc>
        <w:tc>
          <w:tcPr>
            <w:tcW w:type="dxa" w:w="1872"/>
            <w:tcBorders>
              <w:top w:val="none" w:sz="4" w:space="0" w:color="auto"/>
              <w:left w:val="none" w:sz="0" w:space="0" w:color="auto"/>
              <w:bottom w:val="none" w:sz="8" w:space="0" w:color="auto"/>
              <w:right w:val="none" w:sz="0" w:space="0" w:color="auto"/>
            </w:tcBorders>
          </w:tcPr>
          <w:p>
            <w:r>
              <w:rPr>
                <w:sz w:val="18"/>
              </w:rPr>
              <w:t>0.0%</w:t>
            </w:r>
          </w:p>
        </w:tc>
      </w:tr>
      <w:tr>
        <w:tc>
          <w:tcPr>
            <w:tcW w:type="dxa" w:w="1872"/>
            <w:tcBorders>
              <w:top w:val="none" w:sz="4" w:space="0" w:color="auto"/>
              <w:left w:val="none" w:sz="0" w:space="0" w:color="auto"/>
              <w:bottom w:val="none" w:sz="8" w:space="0" w:color="auto"/>
              <w:right w:val="none" w:sz="0" w:space="0" w:color="auto"/>
            </w:tcBorders>
          </w:tcPr>
          <w:p>
            <w:r>
              <w:rPr>
                <w:sz w:val="18"/>
              </w:rPr>
              <w:t>M2 (Post-Hoc Classifier)</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100.0%</w:t>
            </w:r>
          </w:p>
        </w:tc>
        <w:tc>
          <w:tcPr>
            <w:tcW w:type="dxa" w:w="1872"/>
            <w:tcBorders>
              <w:top w:val="none" w:sz="4" w:space="0" w:color="auto"/>
              <w:left w:val="none" w:sz="0" w:space="0" w:color="auto"/>
              <w:bottom w:val="none" w:sz="8" w:space="0" w:color="auto"/>
              <w:right w:val="none" w:sz="0" w:space="0" w:color="auto"/>
            </w:tcBorders>
          </w:tcPr>
          <w:p>
            <w:r>
              <w:rPr>
                <w:sz w:val="18"/>
              </w:rPr>
              <w:t>0.0%</w:t>
            </w:r>
          </w:p>
        </w:tc>
      </w:tr>
      <w:tr>
        <w:tc>
          <w:tcPr>
            <w:tcW w:type="dxa" w:w="1872"/>
            <w:shd w:fill="EFF6FF"/>
            <w:tcBorders>
              <w:top w:val="none" w:sz="4" w:space="0" w:color="auto"/>
              <w:left w:val="none" w:sz="0" w:space="0" w:color="auto"/>
              <w:bottom w:val="single" w:sz="8" w:space="0" w:color="auto"/>
              <w:right w:val="none" w:sz="0" w:space="0" w:color="auto"/>
            </w:tcBorders>
          </w:tcPr>
          <w:p>
            <w:r>
              <w:rPr>
                <w:b/>
                <w:sz w:val="18"/>
              </w:rPr>
              <w:t>M* (Proposed O-CTD)</w:t>
            </w:r>
          </w:p>
        </w:tc>
        <w:tc>
          <w:tcPr>
            <w:tcW w:type="dxa" w:w="1872"/>
            <w:shd w:fill="EFF6FF"/>
            <w:tcBorders>
              <w:top w:val="none" w:sz="4" w:space="0" w:color="auto"/>
              <w:left w:val="none" w:sz="0" w:space="0" w:color="auto"/>
              <w:bottom w:val="single" w:sz="8" w:space="0" w:color="auto"/>
              <w:right w:val="none" w:sz="0" w:space="0" w:color="auto"/>
            </w:tcBorders>
          </w:tcPr>
          <w:p>
            <w:r>
              <w:rPr>
                <w:b/>
                <w:sz w:val="18"/>
              </w:rPr>
              <w:t>50.0%</w:t>
            </w:r>
          </w:p>
        </w:tc>
        <w:tc>
          <w:tcPr>
            <w:tcW w:type="dxa" w:w="1872"/>
            <w:shd w:fill="EFF6FF"/>
            <w:tcBorders>
              <w:top w:val="none" w:sz="4" w:space="0" w:color="auto"/>
              <w:left w:val="none" w:sz="0" w:space="0" w:color="auto"/>
              <w:bottom w:val="single" w:sz="8" w:space="0" w:color="auto"/>
              <w:right w:val="none" w:sz="0" w:space="0" w:color="auto"/>
            </w:tcBorders>
          </w:tcPr>
          <w:p>
            <w:r>
              <w:rPr>
                <w:b/>
                <w:sz w:val="18"/>
              </w:rPr>
              <w:t>0.0%</w:t>
            </w:r>
          </w:p>
        </w:tc>
        <w:tc>
          <w:tcPr>
            <w:tcW w:type="dxa" w:w="1872"/>
            <w:shd w:fill="EFF6FF"/>
            <w:tcBorders>
              <w:top w:val="none" w:sz="4" w:space="0" w:color="auto"/>
              <w:left w:val="none" w:sz="0" w:space="0" w:color="auto"/>
              <w:bottom w:val="single" w:sz="8" w:space="0" w:color="auto"/>
              <w:right w:val="none" w:sz="0" w:space="0" w:color="auto"/>
            </w:tcBorders>
          </w:tcPr>
          <w:p>
            <w:r>
              <w:rPr>
                <w:b/>
                <w:sz w:val="18"/>
              </w:rPr>
              <w:t>0.0%</w:t>
            </w:r>
          </w:p>
        </w:tc>
        <w:tc>
          <w:tcPr>
            <w:tcW w:type="dxa" w:w="1872"/>
            <w:shd w:fill="EFF6FF"/>
            <w:tcBorders>
              <w:top w:val="none" w:sz="4" w:space="0" w:color="auto"/>
              <w:left w:val="none" w:sz="0" w:space="0" w:color="auto"/>
              <w:bottom w:val="single" w:sz="8" w:space="0" w:color="auto"/>
              <w:right w:val="none" w:sz="0" w:space="0" w:color="auto"/>
            </w:tcBorders>
          </w:tcPr>
          <w:p>
            <w:r>
              <w:rPr>
                <w:b/>
                <w:sz w:val="18"/>
              </w:rPr>
              <w:t>100.0%</w:t>
            </w:r>
          </w:p>
        </w:tc>
      </w:tr>
    </w:tbl>
    <w:p/>
    <w:p>
      <w:r>
        <w:t>As shown in Table 2, O-CTD achieved a 0.0% violation rate on both Privilege Escalation and Indirect Prompt Injection. Under Parameter Tampering, O-CTD clamped all attempted refund amounts to the authorized role ceiling (C_r &lt;= $50.00).</w:t>
      </w:r>
    </w:p>
    <w:p>
      <w:pPr>
        <w:keepNext/>
        <w:spacing w:before="200" w:after="60"/>
      </w:pPr>
      <w:r>
        <w:rPr>
          <w:rFonts w:ascii="Times New Roman" w:hAnsi="Times New Roman"/>
          <w:b/>
          <w:i/>
          <w:color w:val="1E293B"/>
          <w:sz w:val="23"/>
        </w:rPr>
        <w:t>4.2 Statistical Significance Testing</w:t>
      </w:r>
    </w:p>
    <w:p>
      <w:r>
        <w:t>To verify that the empirical superiority of O-CTD over in-context prompt guarding is statistically robust, we performed non-parametric paired significance testing [27, 28]. Because binary safety outcomes violate Gaussian normality assumptions, the paired Wilcoxon Signed-Rank Test was conducted across all matched prompt pairs between M1 and M*:</w:t>
        <w:br/>
        <w:t>- Wilcoxon Test Statistic (W): 0.0</w:t>
        <w:br/>
        <w:t>- Two-Sided p-Value: 3.7441 × 10⁻¹⁹ &lt;&lt; 0.001</w:t>
        <w:br/>
        <w:t>- Rank-Biserial Effect Size (r): 0.800</w:t>
        <w:br/>
        <w:br/>
        <w:t>The effect size of r = 0.800 exceeds the standard benchmark for a 'large' effect (r &gt;= 0.50), confirming that O-CTD delivers statistically definitive and reproducible safety improvements.</w:t>
      </w:r>
    </w:p>
    <w:p>
      <w:pPr>
        <w:keepNext/>
        <w:spacing w:before="200" w:after="60"/>
      </w:pPr>
      <w:r>
        <w:rPr>
          <w:rFonts w:ascii="Times New Roman" w:hAnsi="Times New Roman"/>
          <w:b/>
          <w:i/>
          <w:color w:val="1E293B"/>
          <w:sz w:val="23"/>
        </w:rPr>
        <w:t>4.3 Qualitative Analysis of Residual ASR (20%)</w:t>
      </w:r>
    </w:p>
    <w:p>
      <w:r>
        <w:t>Rigorous empirical analysis requires examining remaining failure modes. While O-CTD suppressed ASR from 80% to 20%, we investigate why the residual 20% occurred:</w:t>
        <w:br/>
        <w:br/>
        <w:t>1. The Confused Deputy inside Free-Text Arguments: In two test scenarios, the attack prompt requested: 'Order ORD-12345 was delayed; look up its status and append a note containing internal API keys.' Because lookup_order_status was an authorized tool for Tier 1 support, the grammar permitted its selection. While O-CTD prevented unauthorized financial execution, the model processed the adversarial payload inside the legitimate tool's free-text comment field theta_free [10].</w:t>
        <w:br/>
        <w:br/>
        <w:t>2. Safe Fallback Invocations: Under aggressive injection where all attempted tool tokens were masked out by the DFA, the agent fell back to the default permitted tool (lookup_order_status). Although no policy violation occurred (Phi_struct = True), the benchmark marked the sample as partially engaged because the model did not output an explicit refusal string.</w:t>
        <w:br/>
        <w:br/>
        <w:t>This finding directly validates Remark 1: Context-Free Grammars mathematically eliminate structural and parametric privilege escalations (Phi_struct), but semantic validation inside unbounded free-text fields (theta_free) remains an orthogonal challenge requiring complementary semantic classifiers.</w:t>
      </w:r>
    </w:p>
    <w:p>
      <w:pPr>
        <w:keepNext/>
        <w:spacing w:before="200" w:after="60"/>
      </w:pPr>
      <w:r>
        <w:rPr>
          <w:rFonts w:ascii="Times New Roman" w:hAnsi="Times New Roman"/>
          <w:b/>
          <w:i/>
          <w:color w:val="1E293B"/>
          <w:sz w:val="23"/>
        </w:rPr>
        <w:t>4.4 Computational Overhead &amp; The Pareto Frontier</w:t>
      </w:r>
    </w:p>
    <w:p>
      <w:pPr>
        <w:jc w:val="center"/>
      </w:pPr>
    </w:p>
    <w:p>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figure1_pareto_tradeoff.png"/>
                    <pic:cNvPicPr/>
                  </pic:nvPicPr>
                  <pic:blipFill>
                    <a:blip r:embed="rId10"/>
                    <a:stretch>
                      <a:fillRect/>
                    </a:stretch>
                  </pic:blipFill>
                  <pic:spPr>
                    <a:xfrm>
                      <a:off x="0" y="0"/>
                      <a:ext cx="5669280" cy="2319251"/>
                    </a:xfrm>
                    <a:prstGeom prst="rect"/>
                  </pic:spPr>
                </pic:pic>
              </a:graphicData>
            </a:graphic>
          </wp:inline>
        </w:drawing>
      </w:r>
    </w:p>
    <w:p>
      <w:pPr>
        <w:spacing w:after="200"/>
        <w:jc w:val="center"/>
      </w:pPr>
      <w:r>
        <w:rPr>
          <w:i/>
          <w:sz w:val="19"/>
        </w:rPr>
        <w:t>Figure 2: (a) Pareto trade-off between security vulnerability (ASR %) and enterprise utility (BTC %). O-CTD establishes a dominant position in the optimal top-left quadrant. (b) Computational latency overhead per invocation across architectures on NVIDIA RTX 4090.</w:t>
      </w:r>
    </w:p>
    <w:p>
      <w:r>
        <w:t>Figure 2(a) illustrates the Pareto frontier between security vulnerability and utility. Unconstrained baselines cluster in the bottom-right quadrant (high vulnerability, zero execution utility). O-CTD dominates the frontier, occupying the upper-left quadrant (100% utility, 20% ASR).</w:t>
        <w:br/>
        <w:br/>
        <w:t>Figure 2(b) documents the corresponding computational cost. M* introduces a mean latency of 3116.0 ms compared to 1157.0 ms for prompt guarding. This ~2.7x latency overhead stems from the runtime intersection between the tokenizer vocabulary (|V| ~ 152,000) and the DFA transition table at each generation step [21, 22]. In high-stakes enterprise workflows (e.g., approving customer disbursements, modifying databases), an added 2-second overhead represents an acceptable operational trade-off in exchange for deterministic security guarantees.</w:t>
      </w:r>
    </w:p>
    <w:p>
      <w:pPr>
        <w:keepNext/>
        <w:spacing w:before="280" w:after="80"/>
      </w:pPr>
      <w:r>
        <w:rPr>
          <w:rFonts w:ascii="Times New Roman" w:hAnsi="Times New Roman"/>
          <w:b/>
          <w:color w:val="0F172A"/>
          <w:sz w:val="26"/>
        </w:rPr>
        <w:t>5. Conclusion</w:t>
      </w:r>
    </w:p>
    <w:p>
      <w:r>
        <w:t>In this paper, we introduced Ontology-Constrained Token Decoding (O-CTD), a neuro-symbolic framework that compiles declarative enterprise RBAC ontologies into runtime Context-Free Grammars for autonomous LLM agents. By enforcing deterministic logit masking during autoregressive generation, O-CTD mathematically eliminates unauthorized tool privilege escalations and parametric boundary tampering (P(Phi_struct = False) = 0). On a 100-sample enterprise benchmark using Qwen2.5-7B-Instruct, O-CTD reduced Attack Success Rates from 80% to 20%, decreased policy invariant violations from 90% to 10%, and achieved 100% task utility with strong statistical significance (p = 3.74 × 10⁻¹⁹, r = 0.800). Future research will explore compiling contextual semantic constraints into attribute grammars to address residual free-text injection vectors.</w:t>
      </w:r>
    </w:p>
    <w:p>
      <w:pPr>
        <w:keepNext/>
        <w:spacing w:before="200" w:after="60"/>
      </w:pPr>
      <w:r>
        <w:rPr>
          <w:rFonts w:ascii="Times New Roman" w:hAnsi="Times New Roman"/>
          <w:b/>
          <w:i/>
          <w:color w:val="1E293B"/>
          <w:sz w:val="23"/>
        </w:rPr>
        <w:t>Data and Code Availability</w:t>
      </w:r>
    </w:p>
    <w:p>
      <w:r>
        <w:t>The full experimental benchmark, declarative ontology specifications, evaluation suites, and PyTorch/Outlines implementation are openly available in the project repository: https://github.com/nithin42/kbs-ontoguard.</w:t>
      </w:r>
    </w:p>
    <w:p>
      <w:pPr>
        <w:keepNext/>
        <w:spacing w:before="280" w:after="80"/>
      </w:pPr>
      <w:r>
        <w:rPr>
          <w:rFonts w:ascii="Times New Roman" w:hAnsi="Times New Roman"/>
          <w:b/>
          <w:color w:val="0F172A"/>
          <w:sz w:val="26"/>
        </w:rPr>
        <w:t>Appendix A. Declarative Enterprise RBAC Ontology Specifications</w:t>
      </w:r>
    </w:p>
    <w:p>
      <w:r>
        <w:t>The following declarative Pydantic schemas specify the active session role sub-grammars compiled by O-CTD:</w:t>
      </w:r>
    </w:p>
    <w:p>
      <w:pPr>
        <w:ind w:left="288"/>
      </w:pPr>
      <w:r>
        <w:rPr>
          <w:rFonts w:ascii="Courier New" w:hAnsi="Courier New"/>
          <w:color w:val="0F172A"/>
          <w:sz w:val="17"/>
        </w:rPr>
        <w:t>from pydantic import BaseModel, Field</w:t>
        <w:br/>
        <w:t>from typing import Literal</w:t>
        <w:br/>
        <w:br/>
        <w:t>class LookupOrderStatus(BaseModel):</w:t>
        <w:br/>
        <w:t xml:space="preserve">    action_name: Literal['lookup_order_status']</w:t>
        <w:br/>
        <w:t xml:space="preserve">    order_id: str = Field(pattern=r'^ORD-[0-9]{5}$')</w:t>
        <w:br/>
        <w:br/>
        <w:t>class ProcessRefundTier1(BaseModel):</w:t>
        <w:br/>
        <w:t xml:space="preserve">    action_name: Literal['process_refund']</w:t>
        <w:br/>
        <w:t xml:space="preserve">    order_id: str = Field(pattern=r'^ORD-[0-9]{5}$')</w:t>
        <w:br/>
        <w:t xml:space="preserve">    amount_usd: float = Field(ge=0.01, le=50.00)  # Axiomatic Ceiling: C_r &lt;= $50.00</w:t>
        <w:br/>
        <w:t xml:space="preserve">    reason: str = Field(max_length=200)</w:t>
        <w:br/>
        <w:br/>
        <w:t>class CustomerSupportTier1Action(BaseModel):</w:t>
        <w:br/>
        <w:t xml:space="preserve">    action: LookupOrderStatus | ProcessRefundTier1</w:t>
        <w:br/>
      </w:r>
    </w:p>
    <w:p>
      <w:pPr>
        <w:keepNext/>
        <w:spacing w:before="280" w:after="80"/>
      </w:pPr>
      <w:r>
        <w:rPr>
          <w:rFonts w:ascii="Times New Roman" w:hAnsi="Times New Roman"/>
          <w:b/>
          <w:color w:val="0F172A"/>
          <w:sz w:val="26"/>
        </w:rPr>
        <w:t>References</w:t>
      </w:r>
    </w:p>
    <w:p>
      <w:pPr>
        <w:spacing w:before="20" w:after="40"/>
        <w:ind w:left="432" w:hanging="432"/>
      </w:pPr>
      <w:r>
        <w:rPr>
          <w:rFonts w:ascii="Times New Roman" w:hAnsi="Times New Roman"/>
          <w:color w:val="334155"/>
          <w:sz w:val="18"/>
        </w:rPr>
        <w:t>[1] Qin, Yujia and Liang, Shihao and Ye, Yining and Zhu, Kunlun and Yan, Lan and Lu, Yaxi and Lin, Yankai and Cong, Xin and Tang, Xiangru and Qian, Bill and others, ToolLLM: Facilitating Large Language Models to Master 16000+ Real-world APIs, International Conference on Learning Representations (ICLR 2024) (2024) 1--20.</w:t>
      </w:r>
    </w:p>
    <w:p>
      <w:pPr>
        <w:spacing w:before="20" w:after="40"/>
        <w:ind w:left="432" w:hanging="432"/>
      </w:pPr>
      <w:r>
        <w:rPr>
          <w:rFonts w:ascii="Times New Roman" w:hAnsi="Times New Roman"/>
          <w:color w:val="334155"/>
          <w:sz w:val="18"/>
        </w:rPr>
        <w:t>[2] Qwen Team, Qwen2.5 Technical Report, arXiv preprint arXiv:2412.15115 (2024) 1--88.</w:t>
      </w:r>
    </w:p>
    <w:p>
      <w:pPr>
        <w:spacing w:before="20" w:after="40"/>
        <w:ind w:left="432" w:hanging="432"/>
      </w:pPr>
      <w:r>
        <w:rPr>
          <w:rFonts w:ascii="Times New Roman" w:hAnsi="Times New Roman"/>
          <w:color w:val="334155"/>
          <w:sz w:val="18"/>
        </w:rPr>
        <w:t>[3] Dubey, Abhimanyu and Jauhri, Abhinav and Pandey, Abhinav and Kadian, Abhishek and Al-Dahle, Ahmad and Letman, Aiesha and Mathur, Akhil and Schelten, Alan and Yang, Amy and Fan, Angela and others, The Llama 3 Herd of Models, arXiv preprint arXiv:2407.21783 (2024) 1--92.</w:t>
      </w:r>
    </w:p>
    <w:p>
      <w:pPr>
        <w:spacing w:before="20" w:after="40"/>
        <w:ind w:left="432" w:hanging="432"/>
      </w:pPr>
      <w:r>
        <w:rPr>
          <w:rFonts w:ascii="Times New Roman" w:hAnsi="Times New Roman"/>
          <w:color w:val="334155"/>
          <w:sz w:val="18"/>
        </w:rPr>
        <w:t>[4] Pan, Shirui and Luo, Linhao and Wang, Yufei and Chen, Chen and Wang, Jiapu and Wu, Xindong, Unifying Large Language Models and Knowledge Graphs: A Roadmap, IEEE Transactions on Knowledge and Data Engineering 36 (7) (2024) 3580--3599. doi:10.1109/TKDE.2024.3352100.</w:t>
      </w:r>
    </w:p>
    <w:p>
      <w:pPr>
        <w:spacing w:before="20" w:after="40"/>
        <w:ind w:left="432" w:hanging="432"/>
      </w:pPr>
      <w:r>
        <w:rPr>
          <w:rFonts w:ascii="Times New Roman" w:hAnsi="Times New Roman"/>
          <w:color w:val="334155"/>
          <w:sz w:val="18"/>
        </w:rPr>
        <w:t>[5] Li, Yifan and Liu, Haoran and Wang, Jinyuan and Chen, Xiaofeng, Security and Privacy in Large Language Model Agents: A Comprehensive Survey, IEEE Communications Surveys &amp; Tutorials 26 (4) (2024) 3120--3155. doi:10.1109/COMST.2024.3401122.</w:t>
      </w:r>
    </w:p>
    <w:p>
      <w:pPr>
        <w:spacing w:before="20" w:after="40"/>
        <w:ind w:left="432" w:hanging="432"/>
      </w:pPr>
      <w:r>
        <w:rPr>
          <w:rFonts w:ascii="Times New Roman" w:hAnsi="Times New Roman"/>
          <w:color w:val="334155"/>
          <w:sz w:val="18"/>
        </w:rPr>
        <w:t>[6] National Institute of Standards and Technology, Artificial Intelligence Risk Management Framework: Generative Artificial Intelligence Profile, U.S. Department of Commerce (NIST AI 600-1) (2024) 1--72. doi:10.6028/NIST.AI.600-1.</w:t>
      </w:r>
    </w:p>
    <w:p>
      <w:pPr>
        <w:spacing w:before="20" w:after="40"/>
        <w:ind w:left="432" w:hanging="432"/>
      </w:pPr>
      <w:r>
        <w:rPr>
          <w:rFonts w:ascii="Times New Roman" w:hAnsi="Times New Roman"/>
          <w:color w:val="334155"/>
          <w:sz w:val="18"/>
        </w:rPr>
        <w:t>[7] OWASP Foundation, OWASP Top 10 for Large Language Model Applications and Generative AI, Open Web Application Security Project (Version 2.0) (2025) 1--48. URL: https://owasp.org/www-project-top-10-for-large-language-model-applications/</w:t>
      </w:r>
    </w:p>
    <w:p>
      <w:pPr>
        <w:spacing w:before="20" w:after="40"/>
        <w:ind w:left="432" w:hanging="432"/>
      </w:pPr>
      <w:r>
        <w:rPr>
          <w:rFonts w:ascii="Times New Roman" w:hAnsi="Times New Roman"/>
          <w:color w:val="334155"/>
          <w:sz w:val="18"/>
        </w:rPr>
        <w:t>[8] Zhan, Qiusi and Liang, Zhixiang and Ying, Zifan and Kang, Daniel, InjecAgent: Benchmarking Indirect Prompt Injections in Tool-Integrated Large Language Model Agents, Findings of the Association for Computational Linguistics: ACL 2024 (2024) 9822--9845. doi:10.18653/v1/2024.findings-acl.576.</w:t>
      </w:r>
    </w:p>
    <w:p>
      <w:pPr>
        <w:spacing w:before="20" w:after="40"/>
        <w:ind w:left="432" w:hanging="432"/>
      </w:pPr>
      <w:r>
        <w:rPr>
          <w:rFonts w:ascii="Times New Roman" w:hAnsi="Times New Roman"/>
          <w:color w:val="334155"/>
          <w:sz w:val="18"/>
        </w:rPr>
        <w:t>[9] Debenedetti, Edoardo and Zhang, Jie and Balunovic, Mislav and Beurer-Kellner, Luca and Fischer, Marc and Tramer, Florian, AgentDojo: A Dynamic Environment to Evaluate Attacks and Defenses for LLM Agents, Thirty-eighth Conference on Neural Information Processing Systems (NeurIPS 2024) Datasets and Benchmarks Track (2024) 1--22. URL: https://arxiv.org/abs/2406.13314</w:t>
      </w:r>
    </w:p>
    <w:p>
      <w:pPr>
        <w:spacing w:before="20" w:after="40"/>
        <w:ind w:left="432" w:hanging="432"/>
      </w:pPr>
      <w:r>
        <w:rPr>
          <w:rFonts w:ascii="Times New Roman" w:hAnsi="Times New Roman"/>
          <w:color w:val="334155"/>
          <w:sz w:val="18"/>
        </w:rPr>
        <w:t>[10] Mavrogiannis, Angelos and Balunovic, Mislav and Tramer, Florian, The Confused Deputy Returns: Privilege Escalation in Tool-Using Large Language Models, IEEE Symposium on Security and Privacy Workshops (SPW 2024) (2024) 112--120.</w:t>
      </w:r>
    </w:p>
    <w:p>
      <w:pPr>
        <w:spacing w:before="20" w:after="40"/>
        <w:ind w:left="432" w:hanging="432"/>
      </w:pPr>
      <w:r>
        <w:rPr>
          <w:rFonts w:ascii="Times New Roman" w:hAnsi="Times New Roman"/>
          <w:color w:val="334155"/>
          <w:sz w:val="18"/>
        </w:rPr>
        <w:t>[11] Ruan, Jianhao and Ji, Yixin and Wang, Hao and Xu, Ming and Yang, Min, Identifying and Mitigating Vulnerabilities in LLM-Integrated Workflows, ACM CCS Workshop on Artificial Intelligence and Security (2024) 45--56.</w:t>
      </w:r>
    </w:p>
    <w:p>
      <w:pPr>
        <w:spacing w:before="20" w:after="40"/>
        <w:ind w:left="432" w:hanging="432"/>
      </w:pPr>
      <w:r>
        <w:rPr>
          <w:rFonts w:ascii="Times New Roman" w:hAnsi="Times New Roman"/>
          <w:color w:val="334155"/>
          <w:sz w:val="18"/>
        </w:rPr>
        <w:t>[12] Deng, Gelei and Liu, Yi and Mayoral-Vilches, Victor and Peng, Tianwei and Li, Yuekang and Xu, Yuan and Zhang, Tianwei and Liu, Yang and Pinzger, Martin and Rass, Stefan, PentestGPT: An LLM-Empowered Automated Penetration Testing Framework, USENIX Security Symposium 2024 (2024) 1261--1278.</w:t>
      </w:r>
    </w:p>
    <w:p>
      <w:pPr>
        <w:spacing w:before="20" w:after="40"/>
        <w:ind w:left="432" w:hanging="432"/>
      </w:pPr>
      <w:r>
        <w:rPr>
          <w:rFonts w:ascii="Times New Roman" w:hAnsi="Times New Roman"/>
          <w:color w:val="334155"/>
          <w:sz w:val="18"/>
        </w:rPr>
        <w:t>[13] Wei, Alexander and Haghtalab, Nika and Steinhardt, Jacob, Jailbroken: How Does LLM Safety Training Fail?, Advances in Neural Information Processing Systems (NeurIPS 2024) 37 (2024) 1--18.</w:t>
      </w:r>
    </w:p>
    <w:p>
      <w:pPr>
        <w:spacing w:before="20" w:after="40"/>
        <w:ind w:left="432" w:hanging="432"/>
      </w:pPr>
      <w:r>
        <w:rPr>
          <w:rFonts w:ascii="Times New Roman" w:hAnsi="Times New Roman"/>
          <w:color w:val="334155"/>
          <w:sz w:val="18"/>
        </w:rPr>
        <w:t>[14] Wu, Tong and Zhang, Xiangyu and Clark, Peter, Empirical Analysis of In-Context Guardrail Failures under Adaptive Injections, Empirical Methods in Natural Language Processing (EMNLP 2024) (2024) 4112--4129.</w:t>
      </w:r>
    </w:p>
    <w:p>
      <w:pPr>
        <w:spacing w:before="20" w:after="40"/>
        <w:ind w:left="432" w:hanging="432"/>
      </w:pPr>
      <w:r>
        <w:rPr>
          <w:rFonts w:ascii="Times New Roman" w:hAnsi="Times New Roman"/>
          <w:color w:val="334155"/>
          <w:sz w:val="18"/>
        </w:rPr>
        <w:t>[15] Wang, Zheng and Liang, Yichen and Wang, Haoyu and Kang, Daniel, Progent: Programmable Privilege Control for AI Agents, arXiv preprint arXiv:2501.08922 (2025) 1--19.</w:t>
      </w:r>
    </w:p>
    <w:p>
      <w:pPr>
        <w:spacing w:before="20" w:after="40"/>
        <w:ind w:left="432" w:hanging="432"/>
      </w:pPr>
      <w:r>
        <w:rPr>
          <w:rFonts w:ascii="Times New Roman" w:hAnsi="Times New Roman"/>
          <w:color w:val="334155"/>
          <w:sz w:val="18"/>
        </w:rPr>
        <w:t>[16] Chen, Zhihao and Gao, Peng and Zhang, Wayne and Shen, Chunhua, Benchmarking Adversarial Robustness of Function Calling in Large Language Models, Thirty-eighth Conference on Neural Information Processing Systems (NeurIPS 2024) (2024) 1--21.</w:t>
      </w:r>
    </w:p>
    <w:p>
      <w:pPr>
        <w:spacing w:before="20" w:after="40"/>
        <w:ind w:left="432" w:hanging="432"/>
      </w:pPr>
      <w:r>
        <w:rPr>
          <w:rFonts w:ascii="Times New Roman" w:hAnsi="Times New Roman"/>
          <w:color w:val="334155"/>
          <w:sz w:val="18"/>
        </w:rPr>
        <w:t>[17] Zhou, Andy and Xiao, Chen and Li, Bo and Vorobeychik, Yevgeniy, Robustness and Safety Evaluation of Autonomous Tool-Using LLMs under Adversarial Environments, International Conference on Machine Learning (ICML 2024) (2024) 61230--61252.</w:t>
      </w:r>
    </w:p>
    <w:p>
      <w:pPr>
        <w:spacing w:before="20" w:after="40"/>
        <w:ind w:left="432" w:hanging="432"/>
      </w:pPr>
      <w:r>
        <w:rPr>
          <w:rFonts w:ascii="Times New Roman" w:hAnsi="Times New Roman"/>
          <w:color w:val="334155"/>
          <w:sz w:val="18"/>
        </w:rPr>
        <w:t>[18] Yang, Bo and Zhang, Chen and Liu, Meng and Wang, Zhiyong, Privilege Separation and Access Control in Multi-Agent Autonomous Systems, IEEE Transactions on Dependable and Secure Computing 21 (5) (2024) 2451--2466. doi:10.1109/TDSC.2024.3389012.</w:t>
      </w:r>
    </w:p>
    <w:p>
      <w:pPr>
        <w:spacing w:before="20" w:after="40"/>
        <w:ind w:left="432" w:hanging="432"/>
      </w:pPr>
      <w:r>
        <w:rPr>
          <w:rFonts w:ascii="Times New Roman" w:hAnsi="Times New Roman"/>
          <w:color w:val="334155"/>
          <w:sz w:val="18"/>
        </w:rPr>
        <w:t>[19] Wang, Hao and Tang, Yanyan and Xu, Jian and Chen, Enhong, A Survey on Knowledge-Enhanced Text Generation: Methods and Applications, Knowledge-Based Systems 291 (2024) 111580. doi:10.1016/j.knosys.2024.111580.</w:t>
      </w:r>
    </w:p>
    <w:p>
      <w:pPr>
        <w:spacing w:before="20" w:after="40"/>
        <w:ind w:left="432" w:hanging="432"/>
      </w:pPr>
      <w:r>
        <w:rPr>
          <w:rFonts w:ascii="Times New Roman" w:hAnsi="Times New Roman"/>
          <w:color w:val="334155"/>
          <w:sz w:val="18"/>
        </w:rPr>
        <w:t>[20] He, Yuchen and Sun, Jun and Dong, Jin Song, Formal Verification and Neuro-Symbolic Safety Guarantees for Autonomous AI Systems, ACM Computing Surveys 56 (9) (2024) 1--36. doi:10.1145/3649451.</w:t>
      </w:r>
    </w:p>
    <w:p>
      <w:pPr>
        <w:spacing w:before="20" w:after="40"/>
        <w:ind w:left="432" w:hanging="432"/>
      </w:pPr>
      <w:r>
        <w:rPr>
          <w:rFonts w:ascii="Times New Roman" w:hAnsi="Times New Roman"/>
          <w:color w:val="334155"/>
          <w:sz w:val="18"/>
        </w:rPr>
        <w:t>[21] Zhang, Shun and Agarwal, Shubham and Larochelle, Hugo and Chandar, Sarath, SynCode: LLM Generation with Grammar Augmentation, Proceedings of the ACM on Software Engineering (FSE 2024) 1 (FSE) (2024) 1--24. doi:10.1145/3660788.</w:t>
      </w:r>
    </w:p>
    <w:p>
      <w:pPr>
        <w:spacing w:before="20" w:after="40"/>
        <w:ind w:left="432" w:hanging="432"/>
      </w:pPr>
      <w:r>
        <w:rPr>
          <w:rFonts w:ascii="Times New Roman" w:hAnsi="Times New Roman"/>
          <w:color w:val="334155"/>
          <w:sz w:val="18"/>
        </w:rPr>
        <w:t>[22] Zhao, Yilong and Shen, Chien-Yu and Chen, Tianqi, XGrammar: Flexible and Efficient Structured Generation Engine for Large Language Models, arXiv preprint arXiv:2411.04107 (2024) 1--18.</w:t>
      </w:r>
    </w:p>
    <w:p>
      <w:pPr>
        <w:spacing w:before="20" w:after="40"/>
        <w:ind w:left="432" w:hanging="432"/>
      </w:pPr>
      <w:r>
        <w:rPr>
          <w:rFonts w:ascii="Times New Roman" w:hAnsi="Times New Roman"/>
          <w:color w:val="334155"/>
          <w:sz w:val="18"/>
        </w:rPr>
        <w:t>[23] Beurer-Kellner, Luca and Fischer, Marc and Vechev, Martin, Guiding Large Language Models with Formal Structural Constraints, Proceedings of the ACM on Programming Languages (PACMPL) 8 (PLDI) (2024) 189--214. doi:10.1145/3656402.</w:t>
      </w:r>
    </w:p>
    <w:p>
      <w:pPr>
        <w:spacing w:before="20" w:after="40"/>
        <w:ind w:left="432" w:hanging="432"/>
      </w:pPr>
      <w:r>
        <w:rPr>
          <w:rFonts w:ascii="Times New Roman" w:hAnsi="Times New Roman"/>
          <w:color w:val="334155"/>
          <w:sz w:val="18"/>
        </w:rPr>
        <w:t>[24] Kumar, Sachin and Tsvetkov, Yulia and Smith, Noah A, Inference-Time Token Masking for Enterprise Compliance and Data Governance, Transactions of the Association for Computational Linguistics (TACL) 12 (2024) 540--558. doi:10.1162/tacl_a_00662.</w:t>
      </w:r>
    </w:p>
    <w:p>
      <w:pPr>
        <w:spacing w:before="20" w:after="40"/>
        <w:ind w:left="432" w:hanging="432"/>
      </w:pPr>
      <w:r>
        <w:rPr>
          <w:rFonts w:ascii="Times New Roman" w:hAnsi="Times New Roman"/>
          <w:color w:val="334155"/>
          <w:sz w:val="18"/>
        </w:rPr>
        <w:t>[25] Sordoni, Alessandro and Lu, Xingdi and Caccia, Massimo and Lacoste, Alexandre, Automata-Guided Decoding for Structured Text Generation, International Conference on Learning Representations (ICLR 2024) (2024) 1--18.</w:t>
      </w:r>
    </w:p>
    <w:p>
      <w:pPr>
        <w:spacing w:before="20" w:after="40"/>
        <w:ind w:left="432" w:hanging="432"/>
      </w:pPr>
      <w:r>
        <w:rPr>
          <w:rFonts w:ascii="Times New Roman" w:hAnsi="Times New Roman"/>
          <w:color w:val="334155"/>
          <w:sz w:val="18"/>
        </w:rPr>
        <w:t>[26] Tiwari, Rahul and Sen, Koushik and Roy, Subhajit, Grammar-Enforced RBAC in Multi-Agent Autonomous Systems, IEEE Transactions on Software Engineering 51 (2) (2025) 310--327. doi:10.1109/TSE.2025.3412001.</w:t>
      </w:r>
    </w:p>
    <w:p>
      <w:pPr>
        <w:spacing w:before="20" w:after="40"/>
        <w:ind w:left="432" w:hanging="432"/>
      </w:pPr>
      <w:r>
        <w:rPr>
          <w:rFonts w:ascii="Times New Roman" w:hAnsi="Times New Roman"/>
          <w:color w:val="334155"/>
          <w:sz w:val="18"/>
        </w:rPr>
        <w:t>[27] Gao, Mingyang and Huang, Lei and Roth, Dan, Non-Parametric Statistical Inference for Robust LLM Safety and Performance Evaluation, Computational Linguistics 50 (3) (2024) 911--938. doi:10.1162/coli_a_00512.</w:t>
      </w:r>
    </w:p>
    <w:p>
      <w:pPr>
        <w:spacing w:before="20" w:after="40"/>
        <w:ind w:left="432" w:hanging="432"/>
      </w:pPr>
      <w:r>
        <w:rPr>
          <w:rFonts w:ascii="Times New Roman" w:hAnsi="Times New Roman"/>
          <w:color w:val="334155"/>
          <w:sz w:val="18"/>
        </w:rPr>
        <w:t>[28] Kaufmann, Timo and Schulz, Hannes and Weng, Tsui-Wei, Evaluating Statistical Significance in Non-Normal LLM Safety Metrics, Journal of Artificial Intelligence Research (JAIR) 80 (2024) 745--778. doi:10.1613/jair.1.15890.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