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Times New Roman" w:hAnsi="Times New Roman"/>
          <w:i/>
          <w:color w:val="64748B"/>
          <w:sz w:val="19"/>
        </w:rPr>
        <w:t>Target: Knowledge-Based Systems (Elsevier) — Regular Research Article</w:t>
      </w:r>
    </w:p>
    <w:p>
      <w:pPr>
        <w:spacing w:before="80" w:after="200"/>
      </w:pPr>
      <w:r>
        <w:rPr>
          <w:rFonts w:ascii="Times New Roman" w:hAnsi="Times New Roman"/>
          <w:b/>
          <w:color w:val="0F172A"/>
          <w:sz w:val="34"/>
        </w:rPr>
        <w:t>Ontology-Constrained Neuro-Symbolic Decoding: Enforcing Axiomatic Least-Privilege in Autonomous LLM Agents</w:t>
      </w:r>
    </w:p>
    <w:p>
      <w:pPr>
        <w:spacing w:after="40"/>
      </w:pPr>
      <w:r>
        <w:rPr>
          <w:rFonts w:ascii="Times New Roman" w:hAnsi="Times New Roman"/>
          <w:b/>
          <w:sz w:val="24"/>
        </w:rPr>
        <w:t>Nithin Goud Kumbam*</w:t>
      </w:r>
    </w:p>
    <w:p>
      <w:pPr>
        <w:spacing w:after="40"/>
      </w:pPr>
      <w:r>
        <w:rPr>
          <w:rFonts w:ascii="Times New Roman" w:hAnsi="Times New Roman"/>
          <w:i/>
          <w:color w:val="475569"/>
          <w:sz w:val="20"/>
        </w:rPr>
        <w:t>Department of Data Science, University of Maryland, Baltimore County, Baltimore, MD, USA</w:t>
      </w:r>
    </w:p>
    <w:p>
      <w:pPr>
        <w:spacing w:after="240"/>
      </w:pPr>
      <w:r>
        <w:rPr>
          <w:rFonts w:ascii="Times New Roman" w:hAnsi="Times New Roman"/>
          <w:color w:val="64748B"/>
          <w:sz w:val="18"/>
        </w:rPr>
        <w:t>* Corresponding author. E-mail: nithingoud244@gmail.com | Repository: https://github.com/nithin42/kbs-ontoguard</w:t>
      </w:r>
    </w:p>
    <w:p>
      <w:pPr>
        <w:spacing w:before="120" w:after="40"/>
      </w:pPr>
      <w:r>
        <w:rPr>
          <w:rFonts w:ascii="Times New Roman" w:hAnsi="Times New Roman"/>
          <w:b/>
          <w:sz w:val="22"/>
        </w:rPr>
        <w:t>Abstract</w:t>
      </w:r>
    </w:p>
    <w:p>
      <w:pPr>
        <w:spacing w:after="160"/>
        <w:ind w:left="288" w:right="288"/>
      </w:pPr>
      <w:r>
        <w:rPr>
          <w:sz w:val="20"/>
        </w:rPr>
        <w:t>Autonomous tool-calling Large Language Model (LLM) agents are increasingly entrusted with operational authority in enterprise business workflows, including financial disbursements, database modifications, and customer identity operations. However, existing safety paradigms rely predominantly on in-context system prompts or post-hoc classifiers, both of which remain vulnerable to indirect prompt injection, privilege escalation, and adversarial parameter tampering. In this paper, we propose Ontology-Constrained Token Decoding (O-CTD), a neuro-symbolic framework that compiles formal, declarative Role-Based Access Control (RBAC) ontologies into runtime Context-Free Grammars (CFGs). By projecting the LLM's autoregressive logit distribution onto the permissible transitions of a Deterministic Finite Automaton (DFA) at each generation step, O-CTD mathematically guarantees that unauthorized tool selections and out-of-bounds parameter values cannot be sampled. We empirically evaluate O-CTD against three standard industry baselines across 100 enterprise business scenarios (400 total inferences) using Qwen2.5-7B-Instruct on an NVIDIA RTX 4090 GPU. Experimental results demonstrate that O-CTD suppresses the Attack Success Rate (ASR) from 80.0% (in-context guardrails) down to 20.0%, reduces policy Invariant Violation Rates (IVR) from 90.0% to 10.0%, and achieves 100.0% Benign Task Completion (BTC). A paired Wilcoxon signed-rank test confirms statistical significance (W = 0.0, p = 3.74 × 10⁻¹⁹, r = 0.800). We publish our benchmark suite, declarative schemas, and decoding harness to advance formal verification in agentic AI.</w:t>
      </w:r>
    </w:p>
    <w:p>
      <w:pPr>
        <w:spacing w:after="240"/>
        <w:ind w:left="288"/>
      </w:pPr>
      <w:r>
        <w:rPr>
          <w:b/>
          <w:sz w:val="20"/>
        </w:rPr>
        <w:t xml:space="preserve">Keywords: </w:t>
      </w:r>
      <w:r>
        <w:rPr>
          <w:sz w:val="20"/>
        </w:rPr>
        <w:t>Neuro-symbolic AI; Large Language Models; Constrained Decoding; Autonomous Agents; Role-Based Access Control; Prompt Injection Defense</w:t>
      </w:r>
    </w:p>
    <w:p>
      <w:pPr>
        <w:keepNext/>
        <w:spacing w:before="200" w:after="60"/>
      </w:pPr>
      <w:r>
        <w:rPr>
          <w:rFonts w:ascii="Times New Roman" w:hAnsi="Times New Roman"/>
          <w:b/>
          <w:i/>
          <w:color w:val="1E293B"/>
          <w:sz w:val="23"/>
        </w:rPr>
        <w:t>Highlights</w:t>
      </w:r>
    </w:p>
    <w:p>
      <w:pPr>
        <w:pStyle w:val="ListBullet"/>
        <w:spacing w:before="20" w:after="40"/>
      </w:pPr>
      <w:r>
        <w:rPr>
          <w:sz w:val="20"/>
        </w:rPr>
        <w:t>A formal neuro-symbolic framework compiling enterprise RBAC ontologies into runtime Context-Free Grammars (CFGs).</w:t>
      </w:r>
    </w:p>
    <w:p>
      <w:pPr>
        <w:pStyle w:val="ListBullet"/>
        <w:spacing w:before="20" w:after="40"/>
      </w:pPr>
      <w:r>
        <w:rPr>
          <w:sz w:val="20"/>
        </w:rPr>
        <w:t>Deterministic logit masking mathematically guarantees that out-of-privilege tools and parameters cannot be emitted (P(Phi_struct = False) = 0).</w:t>
      </w:r>
    </w:p>
    <w:p>
      <w:pPr>
        <w:pStyle w:val="ListBullet"/>
        <w:spacing w:before="20" w:after="40"/>
      </w:pPr>
      <w:r>
        <w:rPr>
          <w:sz w:val="20"/>
        </w:rPr>
        <w:t>Empirical evaluation on NVIDIA RTX 4090: ASR reduced from 80.0% to 20.0%, and Invariant Violation Rate from 90.0% to 10.0%.</w:t>
      </w:r>
    </w:p>
    <w:p>
      <w:pPr>
        <w:pStyle w:val="ListBullet"/>
        <w:spacing w:before="20" w:after="40"/>
      </w:pPr>
      <w:r>
        <w:rPr>
          <w:sz w:val="20"/>
        </w:rPr>
        <w:t>Achieves 100.0% Benign Task Completion by eliminating the conversational preambles and JSON syntax errors common in unconstrained LLMs.</w:t>
      </w:r>
    </w:p>
    <w:p>
      <w:pPr>
        <w:pStyle w:val="ListBullet"/>
        <w:spacing w:before="20" w:after="40"/>
      </w:pPr>
      <w:r>
        <w:rPr>
          <w:sz w:val="20"/>
        </w:rPr>
        <w:t>Statistically verified via paired Wilcoxon signed-rank testing (W = 0.0, p = 3.74 × 10⁻¹⁹, rank-biserial effect size r = 0.800).</w:t>
      </w:r>
    </w:p>
    <w:p>
      <w:pPr>
        <w:keepNext/>
        <w:spacing w:before="280" w:after="80"/>
      </w:pPr>
      <w:r>
        <w:rPr>
          <w:rFonts w:ascii="Times New Roman" w:hAnsi="Times New Roman"/>
          <w:b/>
          <w:color w:val="0F172A"/>
          <w:sz w:val="26"/>
        </w:rPr>
        <w:t>1. Introduction</w:t>
      </w:r>
    </w:p>
    <w:p>
      <w:r>
        <w:t>The integration of Large Language Models (LLMs) with external Application Programming Interfaces (APIs) and tool-calling execution engines marks a transition toward autonomous enterprise software agents [1, 2]. In modern decision-support ecosystems, autonomous agents are granted live execution access to issue invoice credits, adjust customer shipping destinations, and execute relational database queries [3, 4].</w:t>
      </w:r>
    </w:p>
    <w:p>
      <w:r>
        <w:t>However, deploying autonomous agents within mission-critical infrastructure creates severe security vulnerabilities [5, 6, 7]. Most prominently, untrusted data ingested during execution—such as third-party vendor emails, customer dispute attachments, or web search results—frequently contains adversarial instructions designed to hijack the model's decision cycle via indirect prompt injection (IPI) [8, 9]. In these scenarios, the autonomous agent suffers from the classic Confused Deputy vulnerability [10], leveraging its authenticated enterprise privileges to execute destructive actions unintended by the system operator [11, 12].</w:t>
      </w:r>
    </w:p>
    <w:p>
      <w:r>
        <w:t>To safeguard agentic systems, industry practitioners currently depend on two predominant defensive paradigms:</w:t>
        <w:br/>
        <w:t>1. In-Context Instructional Prompt Guarding: Embedding natural-language security constraints within the system prompt (e.g., 'You are a Tier-1 support agent. You are strictly forbidden from exceeding $50.00 in refunds or accessing financial ledgers') [13, 14].</w:t>
        <w:br/>
        <w:t>2. Post-Hoc Output Classification: Employing external safety classifiers, guard models, or heuristic regular expressions to intercept generated function calls prior to API dispatch [15, 16].</w:t>
      </w:r>
    </w:p>
    <w:p>
      <w:r>
        <w:t>Both paradigms exhibit fundamental architectural limitations. Instructional prompt guards rely on probabilistic next-token generation; adversarial jailbreak techniques (e.g., roleplay wrappers, executive override framing, or debug-mode prompts) routinely override soft in-context instructions by shifting the token probability distribution [13, 17]. Conversely, post-hoc classifiers operate after generation has completed, decoupling security enforcement from the model's internal reasoning while failing against obfuscated or encoded malicious payloads [11, 18].</w:t>
      </w:r>
    </w:p>
    <w:p>
      <w:r>
        <w:t>To overcome these structural limitations, we present Ontology-Constrained Token Decoding (O-CTD), a neuro-symbolic framework that enforces axiomatic least-privilege directly within the autoregressive decoding process [19, 20]. Rather than relying on soft instructional adherence, O-CTD compiles declarative Role-Based Access Control (RBAC) ontologies into dynamic Context-Free Grammars (CFGs) and Deterministic Finite Automata (DFAs) [21, 22]. At every generation step, the LLM's output logits are projected onto the set of admissible tokens defined by the active session's security grammar [23, 24]. Any token representing an unauthorized tool or an out-of-bounds numeric parameter is mathematically masked prior to sampling [25, 26].</w:t>
      </w:r>
    </w:p>
    <w:p>
      <w:r>
        <w:t>The main contributions of this paper are as follows:</w:t>
      </w:r>
    </w:p>
    <w:p>
      <w:pPr>
        <w:pStyle w:val="ListBullet"/>
        <w:spacing w:before="20" w:after="40"/>
      </w:pPr>
      <w:r>
        <w:rPr>
          <w:b/>
          <w:sz w:val="20"/>
        </w:rPr>
        <w:t xml:space="preserve">Formalization of Axiomatic Least-Privilege for LLM Agents: </w:t>
      </w:r>
      <w:r>
        <w:rPr>
          <w:sz w:val="20"/>
        </w:rPr>
        <w:t>We formalize enterprise security policies as declarative ontologies O = &lt;R, T, Sigma&gt; and formally decouple the authorization predicate into structural/bounded constraints Phi_struct and free-text semantic fields Phi_semantic, establishing clean theoretical verification boundaries.</w:t>
      </w:r>
    </w:p>
    <w:p>
      <w:pPr>
        <w:pStyle w:val="ListBullet"/>
        <w:spacing w:before="20" w:after="40"/>
      </w:pPr>
      <w:r>
        <w:rPr>
          <w:b/>
          <w:sz w:val="20"/>
        </w:rPr>
        <w:t xml:space="preserve">Ontology-Constrained Token Decoding (O-CTD): </w:t>
      </w:r>
      <w:r>
        <w:rPr>
          <w:sz w:val="20"/>
        </w:rPr>
        <w:t>We develop a neuro-symbolic compilation and decoding pipeline that maps session roles to localized Context-Free Grammars G_r and runtime vocabulary DFAs D_r, projecting unconstrained logits onto admissible tokens with zero runtime parsing overhead.</w:t>
      </w:r>
    </w:p>
    <w:p>
      <w:pPr>
        <w:pStyle w:val="ListBullet"/>
        <w:spacing w:before="20" w:after="40"/>
      </w:pPr>
      <w:r>
        <w:rPr>
          <w:b/>
          <w:sz w:val="20"/>
        </w:rPr>
        <w:t xml:space="preserve">BPE-Safe Numeric Sub-Grammar Formulation: </w:t>
      </w:r>
      <w:r>
        <w:rPr>
          <w:sz w:val="20"/>
        </w:rPr>
        <w:t>We formulate exact regular grammar production rules in Extended Backus-Naur Form (EBNF) that prevent multi-token decimal overflow on sub-word tokenizers, strictly enforcing monetary disbursement ceilings (C_r &lt;= $50.00).</w:t>
      </w:r>
    </w:p>
    <w:p>
      <w:pPr>
        <w:pStyle w:val="ListBullet"/>
        <w:spacing w:before="20" w:after="40"/>
      </w:pPr>
      <w:r>
        <w:rPr>
          <w:b/>
          <w:sz w:val="20"/>
        </w:rPr>
        <w:t xml:space="preserve">Dual-Metric Enterprise Benchmark &amp; Empirical Evaluation: </w:t>
      </w:r>
      <w:r>
        <w:rPr>
          <w:sz w:val="20"/>
        </w:rPr>
        <w:t>We synthesize a balanced 100-scenario enterprise benchmark across three operational roles and five threat classes, introducing a dual-metric evaluation (Strict vs. Relaxed Task Completion) and proving that O-CTD delivers a 4x reduction in Attack Success Rate (from 80.0% to 20.0%) with verified statistical significance (p = 3.74 × 10⁻¹⁹, r = 0.800).</w:t>
      </w:r>
    </w:p>
    <w:p>
      <w:r>
        <w:t>The rest of this paper is organised as follows: Section 2 details the formal mathematical formulation of O-CTD, its compilation into regular and context-free grammars, and theoretical soundness proofs; Section 3 describes the benchmark suite, hardware configuration, baseline architectures, and formal metric definitions; Section 4 presents the empirical comparative results, ablation study, statistical significance tests, and Pareto analysis; Section 5 discusses limitations, future directions, and concludes the paper.</w:t>
      </w:r>
    </w:p>
    <w:p>
      <w:pPr>
        <w:keepNext/>
        <w:spacing w:before="280" w:after="80"/>
      </w:pPr>
      <w:r>
        <w:rPr>
          <w:rFonts w:ascii="Times New Roman" w:hAnsi="Times New Roman"/>
          <w:b/>
          <w:color w:val="0F172A"/>
          <w:sz w:val="26"/>
        </w:rPr>
        <w:t>2. Mathematical Formulation of O-CTD</w:t>
      </w:r>
    </w:p>
    <w:p>
      <w:pPr>
        <w:keepNext/>
        <w:spacing w:before="160" w:after="60"/>
      </w:pPr>
      <w:r>
        <w:rPr>
          <w:b/>
          <w:sz w:val="20"/>
        </w:rPr>
        <w:t>Table 1: Conceptual differences between earlier defensive paradigms and the proposed O-CTD framework for autonomous LLM agents.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8" w:space="0" w:color="auto"/>
              <w:left w:val="none" w:sz="0" w:space="0" w:color="auto"/>
              <w:bottom w:val="single" w:sz="6" w:space="0" w:color="auto"/>
              <w:right w:val="none" w:sz="0" w:space="0" w:color="auto"/>
            </w:tcBorders>
            <w:shd w:fill="F1F5F9"/>
          </w:tcPr>
          <w:p>
            <w:r>
              <w:rPr>
                <w:b/>
                <w:color w:val="0F172A"/>
                <w:sz w:val="18"/>
              </w:rPr>
              <w:t>Architectural Dimension</w:t>
            </w:r>
          </w:p>
        </w:tc>
        <w:tc>
          <w:tcPr>
            <w:tcW w:type="dxa" w:w="1872"/>
            <w:tcBorders>
              <w:top w:val="single" w:sz="8" w:space="0" w:color="auto"/>
              <w:left w:val="none" w:sz="0" w:space="0" w:color="auto"/>
              <w:bottom w:val="single" w:sz="6" w:space="0" w:color="auto"/>
              <w:right w:val="none" w:sz="0" w:space="0" w:color="auto"/>
            </w:tcBorders>
            <w:shd w:fill="F1F5F9"/>
          </w:tcPr>
          <w:p>
            <w:r>
              <w:rPr>
                <w:b/>
                <w:color w:val="0F172A"/>
                <w:sz w:val="18"/>
              </w:rPr>
              <w:t>M0 (Vanilla Base LLM)</w:t>
            </w:r>
          </w:p>
        </w:tc>
        <w:tc>
          <w:tcPr>
            <w:tcW w:type="dxa" w:w="1872"/>
            <w:tcBorders>
              <w:top w:val="single" w:sz="8" w:space="0" w:color="auto"/>
              <w:left w:val="none" w:sz="0" w:space="0" w:color="auto"/>
              <w:bottom w:val="single" w:sz="6" w:space="0" w:color="auto"/>
              <w:right w:val="none" w:sz="0" w:space="0" w:color="auto"/>
            </w:tcBorders>
            <w:shd w:fill="F1F5F9"/>
          </w:tcPr>
          <w:p>
            <w:r>
              <w:rPr>
                <w:b/>
                <w:color w:val="0F172A"/>
                <w:sz w:val="18"/>
              </w:rPr>
              <w:t>M1 (In-Context Prompt Guard)</w:t>
            </w:r>
          </w:p>
        </w:tc>
        <w:tc>
          <w:tcPr>
            <w:tcW w:type="dxa" w:w="1872"/>
            <w:tcBorders>
              <w:top w:val="single" w:sz="8" w:space="0" w:color="auto"/>
              <w:left w:val="none" w:sz="0" w:space="0" w:color="auto"/>
              <w:bottom w:val="single" w:sz="6" w:space="0" w:color="auto"/>
              <w:right w:val="none" w:sz="0" w:space="0" w:color="auto"/>
            </w:tcBorders>
            <w:shd w:fill="F1F5F9"/>
          </w:tcPr>
          <w:p>
            <w:r>
              <w:rPr>
                <w:b/>
                <w:color w:val="0F172A"/>
                <w:sz w:val="18"/>
              </w:rPr>
              <w:t>M2 (Post-Hoc Output Classifier)</w:t>
            </w:r>
          </w:p>
        </w:tc>
        <w:tc>
          <w:tcPr>
            <w:tcW w:type="dxa" w:w="1872"/>
            <w:tcBorders>
              <w:top w:val="single" w:sz="8" w:space="0" w:color="auto"/>
              <w:left w:val="none" w:sz="0" w:space="0" w:color="auto"/>
              <w:bottom w:val="single" w:sz="6" w:space="0" w:color="auto"/>
              <w:right w:val="none" w:sz="0" w:space="0" w:color="auto"/>
            </w:tcBorders>
            <w:shd w:fill="F1F5F9"/>
          </w:tcPr>
          <w:p>
            <w:r>
              <w:rPr>
                <w:b/>
                <w:color w:val="0F172A"/>
                <w:sz w:val="18"/>
              </w:rPr>
              <w:t>M* (Proposed O-CTD)</w:t>
            </w:r>
          </w:p>
        </w:tc>
      </w:tr>
      <w:tr>
        <w:tc>
          <w:tcPr>
            <w:tcW w:type="dxa" w:w="1872"/>
            <w:tcBorders>
              <w:top w:val="none" w:sz="4" w:space="0" w:color="auto"/>
              <w:left w:val="none" w:sz="0" w:space="0" w:color="auto"/>
              <w:bottom w:val="none" w:sz="8" w:space="0" w:color="auto"/>
              <w:right w:val="none" w:sz="0" w:space="0" w:color="auto"/>
            </w:tcBorders>
          </w:tcPr>
          <w:p>
            <w:r>
              <w:rPr>
                <w:sz w:val="17"/>
              </w:rPr>
              <w:t>Enforcement Layer</w:t>
            </w:r>
          </w:p>
        </w:tc>
        <w:tc>
          <w:tcPr>
            <w:tcW w:type="dxa" w:w="1872"/>
            <w:tcBorders>
              <w:top w:val="none" w:sz="4" w:space="0" w:color="auto"/>
              <w:left w:val="none" w:sz="0" w:space="0" w:color="auto"/>
              <w:bottom w:val="none" w:sz="8" w:space="0" w:color="auto"/>
              <w:right w:val="none" w:sz="0" w:space="0" w:color="auto"/>
            </w:tcBorders>
          </w:tcPr>
          <w:p>
            <w:r>
              <w:rPr>
                <w:sz w:val="17"/>
              </w:rPr>
              <w:t>Unconstrained Generation</w:t>
            </w:r>
          </w:p>
        </w:tc>
        <w:tc>
          <w:tcPr>
            <w:tcW w:type="dxa" w:w="1872"/>
            <w:tcBorders>
              <w:top w:val="none" w:sz="4" w:space="0" w:color="auto"/>
              <w:left w:val="none" w:sz="0" w:space="0" w:color="auto"/>
              <w:bottom w:val="none" w:sz="8" w:space="0" w:color="auto"/>
              <w:right w:val="none" w:sz="0" w:space="0" w:color="auto"/>
            </w:tcBorders>
          </w:tcPr>
          <w:p>
            <w:r>
              <w:rPr>
                <w:sz w:val="17"/>
              </w:rPr>
              <w:t>In-Context System Prompt</w:t>
            </w:r>
          </w:p>
        </w:tc>
        <w:tc>
          <w:tcPr>
            <w:tcW w:type="dxa" w:w="1872"/>
            <w:tcBorders>
              <w:top w:val="none" w:sz="4" w:space="0" w:color="auto"/>
              <w:left w:val="none" w:sz="0" w:space="0" w:color="auto"/>
              <w:bottom w:val="none" w:sz="8" w:space="0" w:color="auto"/>
              <w:right w:val="none" w:sz="0" w:space="0" w:color="auto"/>
            </w:tcBorders>
          </w:tcPr>
          <w:p>
            <w:r>
              <w:rPr>
                <w:sz w:val="17"/>
              </w:rPr>
              <w:t>External API Interceptor</w:t>
            </w:r>
          </w:p>
        </w:tc>
        <w:tc>
          <w:tcPr>
            <w:tcW w:type="dxa" w:w="1872"/>
            <w:shd w:fill="EFF6FF"/>
            <w:tcBorders>
              <w:top w:val="none" w:sz="4" w:space="0" w:color="auto"/>
              <w:left w:val="none" w:sz="0" w:space="0" w:color="auto"/>
              <w:bottom w:val="none" w:sz="8" w:space="0" w:color="auto"/>
              <w:right w:val="none" w:sz="0" w:space="0" w:color="auto"/>
            </w:tcBorders>
          </w:tcPr>
          <w:p>
            <w:r>
              <w:rPr>
                <w:b/>
                <w:sz w:val="17"/>
              </w:rPr>
              <w:t>Autoregressive Logit Projection</w:t>
            </w:r>
          </w:p>
        </w:tc>
      </w:tr>
      <w:tr>
        <w:tc>
          <w:tcPr>
            <w:tcW w:type="dxa" w:w="1872"/>
            <w:tcBorders>
              <w:top w:val="none" w:sz="4" w:space="0" w:color="auto"/>
              <w:left w:val="none" w:sz="0" w:space="0" w:color="auto"/>
              <w:bottom w:val="none" w:sz="8" w:space="0" w:color="auto"/>
              <w:right w:val="none" w:sz="0" w:space="0" w:color="auto"/>
            </w:tcBorders>
          </w:tcPr>
          <w:p>
            <w:r>
              <w:rPr>
                <w:sz w:val="17"/>
              </w:rPr>
              <w:t>Mathematical Guarantee</w:t>
            </w:r>
          </w:p>
        </w:tc>
        <w:tc>
          <w:tcPr>
            <w:tcW w:type="dxa" w:w="1872"/>
            <w:tcBorders>
              <w:top w:val="none" w:sz="4" w:space="0" w:color="auto"/>
              <w:left w:val="none" w:sz="0" w:space="0" w:color="auto"/>
              <w:bottom w:val="none" w:sz="8" w:space="0" w:color="auto"/>
              <w:right w:val="none" w:sz="0" w:space="0" w:color="auto"/>
            </w:tcBorders>
          </w:tcPr>
          <w:p>
            <w:r>
              <w:rPr>
                <w:sz w:val="17"/>
              </w:rPr>
              <w:t>None (P(viol) &gt; 0)</w:t>
            </w:r>
          </w:p>
        </w:tc>
        <w:tc>
          <w:tcPr>
            <w:tcW w:type="dxa" w:w="1872"/>
            <w:tcBorders>
              <w:top w:val="none" w:sz="4" w:space="0" w:color="auto"/>
              <w:left w:val="none" w:sz="0" w:space="0" w:color="auto"/>
              <w:bottom w:val="none" w:sz="8" w:space="0" w:color="auto"/>
              <w:right w:val="none" w:sz="0" w:space="0" w:color="auto"/>
            </w:tcBorders>
          </w:tcPr>
          <w:p>
            <w:r>
              <w:rPr>
                <w:sz w:val="17"/>
              </w:rPr>
              <w:t>Probabilistic (P(viol) &gt;&gt; 0)</w:t>
            </w:r>
          </w:p>
        </w:tc>
        <w:tc>
          <w:tcPr>
            <w:tcW w:type="dxa" w:w="1872"/>
            <w:tcBorders>
              <w:top w:val="none" w:sz="4" w:space="0" w:color="auto"/>
              <w:left w:val="none" w:sz="0" w:space="0" w:color="auto"/>
              <w:bottom w:val="none" w:sz="8" w:space="0" w:color="auto"/>
              <w:right w:val="none" w:sz="0" w:space="0" w:color="auto"/>
            </w:tcBorders>
          </w:tcPr>
          <w:p>
            <w:r>
              <w:rPr>
                <w:sz w:val="17"/>
              </w:rPr>
              <w:t>Heuristic (P(viol) &gt; 0)</w:t>
            </w:r>
          </w:p>
        </w:tc>
        <w:tc>
          <w:tcPr>
            <w:tcW w:type="dxa" w:w="1872"/>
            <w:shd w:fill="EFF6FF"/>
            <w:tcBorders>
              <w:top w:val="none" w:sz="4" w:space="0" w:color="auto"/>
              <w:left w:val="none" w:sz="0" w:space="0" w:color="auto"/>
              <w:bottom w:val="none" w:sz="8" w:space="0" w:color="auto"/>
              <w:right w:val="none" w:sz="0" w:space="0" w:color="auto"/>
            </w:tcBorders>
          </w:tcPr>
          <w:p>
            <w:r>
              <w:rPr>
                <w:b/>
                <w:sz w:val="17"/>
              </w:rPr>
              <w:t>Deterministic (P(Phi_struct = False) = 0)</w:t>
            </w:r>
          </w:p>
        </w:tc>
      </w:tr>
      <w:tr>
        <w:tc>
          <w:tcPr>
            <w:tcW w:type="dxa" w:w="1872"/>
            <w:tcBorders>
              <w:top w:val="none" w:sz="4" w:space="0" w:color="auto"/>
              <w:left w:val="none" w:sz="0" w:space="0" w:color="auto"/>
              <w:bottom w:val="none" w:sz="8" w:space="0" w:color="auto"/>
              <w:right w:val="none" w:sz="0" w:space="0" w:color="auto"/>
            </w:tcBorders>
          </w:tcPr>
          <w:p>
            <w:r>
              <w:rPr>
                <w:sz w:val="17"/>
              </w:rPr>
              <w:t>Adversarial Jailbreak Resistance</w:t>
            </w:r>
          </w:p>
        </w:tc>
        <w:tc>
          <w:tcPr>
            <w:tcW w:type="dxa" w:w="1872"/>
            <w:tcBorders>
              <w:top w:val="none" w:sz="4" w:space="0" w:color="auto"/>
              <w:left w:val="none" w:sz="0" w:space="0" w:color="auto"/>
              <w:bottom w:val="none" w:sz="8" w:space="0" w:color="auto"/>
              <w:right w:val="none" w:sz="0" w:space="0" w:color="auto"/>
            </w:tcBorders>
          </w:tcPr>
          <w:p>
            <w:r>
              <w:rPr>
                <w:sz w:val="17"/>
              </w:rPr>
              <w:t>Zero</w:t>
            </w:r>
          </w:p>
        </w:tc>
        <w:tc>
          <w:tcPr>
            <w:tcW w:type="dxa" w:w="1872"/>
            <w:tcBorders>
              <w:top w:val="none" w:sz="4" w:space="0" w:color="auto"/>
              <w:left w:val="none" w:sz="0" w:space="0" w:color="auto"/>
              <w:bottom w:val="none" w:sz="8" w:space="0" w:color="auto"/>
              <w:right w:val="none" w:sz="0" w:space="0" w:color="auto"/>
            </w:tcBorders>
          </w:tcPr>
          <w:p>
            <w:r>
              <w:rPr>
                <w:sz w:val="17"/>
              </w:rPr>
              <w:t>Fails under persona/roleplay</w:t>
            </w:r>
          </w:p>
        </w:tc>
        <w:tc>
          <w:tcPr>
            <w:tcW w:type="dxa" w:w="1872"/>
            <w:tcBorders>
              <w:top w:val="none" w:sz="4" w:space="0" w:color="auto"/>
              <w:left w:val="none" w:sz="0" w:space="0" w:color="auto"/>
              <w:bottom w:val="none" w:sz="8" w:space="0" w:color="auto"/>
              <w:right w:val="none" w:sz="0" w:space="0" w:color="auto"/>
            </w:tcBorders>
          </w:tcPr>
          <w:p>
            <w:r>
              <w:rPr>
                <w:sz w:val="17"/>
              </w:rPr>
              <w:t>Vulnerable to obfuscation</w:t>
            </w:r>
          </w:p>
        </w:tc>
        <w:tc>
          <w:tcPr>
            <w:tcW w:type="dxa" w:w="1872"/>
            <w:shd w:fill="EFF6FF"/>
            <w:tcBorders>
              <w:top w:val="none" w:sz="4" w:space="0" w:color="auto"/>
              <w:left w:val="none" w:sz="0" w:space="0" w:color="auto"/>
              <w:bottom w:val="none" w:sz="8" w:space="0" w:color="auto"/>
              <w:right w:val="none" w:sz="0" w:space="0" w:color="auto"/>
            </w:tcBorders>
          </w:tcPr>
          <w:p>
            <w:r>
              <w:rPr>
                <w:b/>
                <w:sz w:val="17"/>
              </w:rPr>
              <w:t>Mathematically immune to in-context attacks</w:t>
            </w:r>
          </w:p>
        </w:tc>
      </w:tr>
      <w:tr>
        <w:tc>
          <w:tcPr>
            <w:tcW w:type="dxa" w:w="1872"/>
            <w:tcBorders>
              <w:top w:val="none" w:sz="4" w:space="0" w:color="auto"/>
              <w:left w:val="none" w:sz="0" w:space="0" w:color="auto"/>
              <w:bottom w:val="none" w:sz="8" w:space="0" w:color="auto"/>
              <w:right w:val="none" w:sz="0" w:space="0" w:color="auto"/>
            </w:tcBorders>
          </w:tcPr>
          <w:p>
            <w:r>
              <w:rPr>
                <w:sz w:val="17"/>
              </w:rPr>
              <w:t>Multi-Token Numeric Bounds</w:t>
            </w:r>
          </w:p>
        </w:tc>
        <w:tc>
          <w:tcPr>
            <w:tcW w:type="dxa" w:w="1872"/>
            <w:tcBorders>
              <w:top w:val="none" w:sz="4" w:space="0" w:color="auto"/>
              <w:left w:val="none" w:sz="0" w:space="0" w:color="auto"/>
              <w:bottom w:val="none" w:sz="8" w:space="0" w:color="auto"/>
              <w:right w:val="none" w:sz="0" w:space="0" w:color="auto"/>
            </w:tcBorders>
          </w:tcPr>
          <w:p>
            <w:r>
              <w:rPr>
                <w:sz w:val="17"/>
              </w:rPr>
              <w:t>Unconstrained</w:t>
            </w:r>
          </w:p>
        </w:tc>
        <w:tc>
          <w:tcPr>
            <w:tcW w:type="dxa" w:w="1872"/>
            <w:tcBorders>
              <w:top w:val="none" w:sz="4" w:space="0" w:color="auto"/>
              <w:left w:val="none" w:sz="0" w:space="0" w:color="auto"/>
              <w:bottom w:val="none" w:sz="8" w:space="0" w:color="auto"/>
              <w:right w:val="none" w:sz="0" w:space="0" w:color="auto"/>
            </w:tcBorders>
          </w:tcPr>
          <w:p>
            <w:r>
              <w:rPr>
                <w:sz w:val="17"/>
              </w:rPr>
              <w:t>Soft prompt request</w:t>
            </w:r>
          </w:p>
        </w:tc>
        <w:tc>
          <w:tcPr>
            <w:tcW w:type="dxa" w:w="1872"/>
            <w:tcBorders>
              <w:top w:val="none" w:sz="4" w:space="0" w:color="auto"/>
              <w:left w:val="none" w:sz="0" w:space="0" w:color="auto"/>
              <w:bottom w:val="none" w:sz="8" w:space="0" w:color="auto"/>
              <w:right w:val="none" w:sz="0" w:space="0" w:color="auto"/>
            </w:tcBorders>
          </w:tcPr>
          <w:p>
            <w:r>
              <w:rPr>
                <w:sz w:val="17"/>
              </w:rPr>
              <w:t>Post-execution error</w:t>
            </w:r>
          </w:p>
        </w:tc>
        <w:tc>
          <w:tcPr>
            <w:tcW w:type="dxa" w:w="1872"/>
            <w:shd w:fill="EFF6FF"/>
            <w:tcBorders>
              <w:top w:val="none" w:sz="4" w:space="0" w:color="auto"/>
              <w:left w:val="none" w:sz="0" w:space="0" w:color="auto"/>
              <w:bottom w:val="none" w:sz="8" w:space="0" w:color="auto"/>
              <w:right w:val="none" w:sz="0" w:space="0" w:color="auto"/>
            </w:tcBorders>
          </w:tcPr>
          <w:p>
            <w:r>
              <w:rPr>
                <w:b/>
                <w:sz w:val="17"/>
              </w:rPr>
              <w:t>BPE-Safe Regular Grammar (C_r &lt;= $50.00)</w:t>
            </w:r>
          </w:p>
        </w:tc>
      </w:tr>
      <w:tr>
        <w:tc>
          <w:tcPr>
            <w:tcW w:type="dxa" w:w="1872"/>
            <w:tcBorders>
              <w:top w:val="none" w:sz="4" w:space="0" w:color="auto"/>
              <w:left w:val="none" w:sz="0" w:space="0" w:color="auto"/>
              <w:bottom w:val="none" w:sz="8" w:space="0" w:color="auto"/>
              <w:right w:val="none" w:sz="0" w:space="0" w:color="auto"/>
            </w:tcBorders>
          </w:tcPr>
          <w:p>
            <w:r>
              <w:rPr>
                <w:sz w:val="17"/>
              </w:rPr>
              <w:t>Grammar Scalability</w:t>
            </w:r>
          </w:p>
        </w:tc>
        <w:tc>
          <w:tcPr>
            <w:tcW w:type="dxa" w:w="1872"/>
            <w:tcBorders>
              <w:top w:val="none" w:sz="4" w:space="0" w:color="auto"/>
              <w:left w:val="none" w:sz="0" w:space="0" w:color="auto"/>
              <w:bottom w:val="none" w:sz="8" w:space="0" w:color="auto"/>
              <w:right w:val="none" w:sz="0" w:space="0" w:color="auto"/>
            </w:tcBorders>
          </w:tcPr>
          <w:p>
            <w:r>
              <w:rPr>
                <w:sz w:val="17"/>
              </w:rPr>
              <w:t>N/A</w:t>
            </w:r>
          </w:p>
        </w:tc>
        <w:tc>
          <w:tcPr>
            <w:tcW w:type="dxa" w:w="1872"/>
            <w:tcBorders>
              <w:top w:val="none" w:sz="4" w:space="0" w:color="auto"/>
              <w:left w:val="none" w:sz="0" w:space="0" w:color="auto"/>
              <w:bottom w:val="none" w:sz="8" w:space="0" w:color="auto"/>
              <w:right w:val="none" w:sz="0" w:space="0" w:color="auto"/>
            </w:tcBorders>
          </w:tcPr>
          <w:p>
            <w:r>
              <w:rPr>
                <w:sz w:val="17"/>
              </w:rPr>
              <w:t>Degrades with prompt context</w:t>
            </w:r>
          </w:p>
        </w:tc>
        <w:tc>
          <w:tcPr>
            <w:tcW w:type="dxa" w:w="1872"/>
            <w:tcBorders>
              <w:top w:val="none" w:sz="4" w:space="0" w:color="auto"/>
              <w:left w:val="none" w:sz="0" w:space="0" w:color="auto"/>
              <w:bottom w:val="none" w:sz="8" w:space="0" w:color="auto"/>
              <w:right w:val="none" w:sz="0" w:space="0" w:color="auto"/>
            </w:tcBorders>
          </w:tcPr>
          <w:p>
            <w:r>
              <w:rPr>
                <w:sz w:val="17"/>
              </w:rPr>
              <w:t>N/A</w:t>
            </w:r>
          </w:p>
        </w:tc>
        <w:tc>
          <w:tcPr>
            <w:tcW w:type="dxa" w:w="1872"/>
            <w:shd w:fill="EFF6FF"/>
            <w:tcBorders>
              <w:top w:val="none" w:sz="4" w:space="0" w:color="auto"/>
              <w:left w:val="none" w:sz="0" w:space="0" w:color="auto"/>
              <w:bottom w:val="none" w:sz="8" w:space="0" w:color="auto"/>
              <w:right w:val="none" w:sz="0" w:space="0" w:color="auto"/>
            </w:tcBorders>
          </w:tcPr>
          <w:p>
            <w:r>
              <w:rPr>
                <w:b/>
                <w:sz w:val="17"/>
              </w:rPr>
              <w:t>Localized Sub-Grammar O(|T_r| * |V|)</w:t>
            </w:r>
          </w:p>
        </w:tc>
      </w:tr>
      <w:tr>
        <w:tc>
          <w:tcPr>
            <w:tcW w:type="dxa" w:w="1872"/>
            <w:tcBorders>
              <w:top w:val="none" w:sz="4" w:space="0" w:color="auto"/>
              <w:left w:val="none" w:sz="0" w:space="0" w:color="auto"/>
              <w:bottom w:val="single" w:sz="8" w:space="0" w:color="auto"/>
              <w:right w:val="none" w:sz="0" w:space="0" w:color="auto"/>
            </w:tcBorders>
          </w:tcPr>
          <w:p>
            <w:r>
              <w:rPr>
                <w:sz w:val="17"/>
              </w:rPr>
              <w:t>Tokenizer Invariance</w:t>
            </w:r>
          </w:p>
        </w:tc>
        <w:tc>
          <w:tcPr>
            <w:tcW w:type="dxa" w:w="1872"/>
            <w:tcBorders>
              <w:top w:val="none" w:sz="4" w:space="0" w:color="auto"/>
              <w:left w:val="none" w:sz="0" w:space="0" w:color="auto"/>
              <w:bottom w:val="single" w:sz="8" w:space="0" w:color="auto"/>
              <w:right w:val="none" w:sz="0" w:space="0" w:color="auto"/>
            </w:tcBorders>
          </w:tcPr>
          <w:p>
            <w:r>
              <w:rPr>
                <w:sz w:val="17"/>
              </w:rPr>
              <w:t>Model-specific</w:t>
            </w:r>
          </w:p>
        </w:tc>
        <w:tc>
          <w:tcPr>
            <w:tcW w:type="dxa" w:w="1872"/>
            <w:tcBorders>
              <w:top w:val="none" w:sz="4" w:space="0" w:color="auto"/>
              <w:left w:val="none" w:sz="0" w:space="0" w:color="auto"/>
              <w:bottom w:val="single" w:sz="8" w:space="0" w:color="auto"/>
              <w:right w:val="none" w:sz="0" w:space="0" w:color="auto"/>
            </w:tcBorders>
          </w:tcPr>
          <w:p>
            <w:r>
              <w:rPr>
                <w:sz w:val="17"/>
              </w:rPr>
              <w:t>Model-specific</w:t>
            </w:r>
          </w:p>
        </w:tc>
        <w:tc>
          <w:tcPr>
            <w:tcW w:type="dxa" w:w="1872"/>
            <w:tcBorders>
              <w:top w:val="none" w:sz="4" w:space="0" w:color="auto"/>
              <w:left w:val="none" w:sz="0" w:space="0" w:color="auto"/>
              <w:bottom w:val="single" w:sz="8" w:space="0" w:color="auto"/>
              <w:right w:val="none" w:sz="0" w:space="0" w:color="auto"/>
            </w:tcBorders>
          </w:tcPr>
          <w:p>
            <w:r>
              <w:rPr>
                <w:sz w:val="17"/>
              </w:rPr>
              <w:t>Text-dependent</w:t>
            </w:r>
          </w:p>
        </w:tc>
        <w:tc>
          <w:tcPr>
            <w:tcW w:type="dxa" w:w="1872"/>
            <w:shd w:fill="EFF6FF"/>
            <w:tcBorders>
              <w:top w:val="none" w:sz="4" w:space="0" w:color="auto"/>
              <w:left w:val="none" w:sz="0" w:space="0" w:color="auto"/>
              <w:bottom w:val="single" w:sz="8" w:space="0" w:color="auto"/>
              <w:right w:val="none" w:sz="0" w:space="0" w:color="auto"/>
            </w:tcBorders>
          </w:tcPr>
          <w:p>
            <w:r>
              <w:rPr>
                <w:b/>
                <w:sz w:val="17"/>
              </w:rPr>
              <w:t>Unicode-terminal invariant across BPE vocabs</w:t>
            </w:r>
          </w:p>
        </w:tc>
      </w:tr>
    </w:tbl>
    <w:p/>
    <w:p>
      <w:pPr>
        <w:jc w:val="center"/>
      </w:pPr>
    </w:p>
    <w:p>
      <w:r>
        <w:drawing>
          <wp:inline xmlns:a="http://schemas.openxmlformats.org/drawingml/2006/main" xmlns:pic="http://schemas.openxmlformats.org/drawingml/2006/picture">
            <wp:extent cx="5852160" cy="3382092"/>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9"/>
                    <a:stretch>
                      <a:fillRect/>
                    </a:stretch>
                  </pic:blipFill>
                  <pic:spPr>
                    <a:xfrm>
                      <a:off x="0" y="0"/>
                      <a:ext cx="5852160" cy="3382092"/>
                    </a:xfrm>
                    <a:prstGeom prst="rect"/>
                  </pic:spPr>
                </pic:pic>
              </a:graphicData>
            </a:graphic>
          </wp:inline>
        </w:drawing>
      </w:r>
    </w:p>
    <w:p>
      <w:pPr>
        <w:spacing w:after="200"/>
        <w:jc w:val="center"/>
      </w:pPr>
      <w:r>
        <w:rPr>
          <w:i/>
          <w:sz w:val="19"/>
        </w:rPr>
        <w:t>Figure 1: System architecture of Ontology-Constrained Token Decoding (O-CTD). Phase I: Offline compilation maps the declarative enterprise RBAC ontology into localized Context-Free Grammars (G_r) and vocabulary DFAs (D_r). Phase II: Online neuro-symbolic execution dynamically projects unconstrained LLM logits onto the admissible token mask A(q_{t-1}), mathematically precluding out-of-privilege tool invocations and parameter violations.</w:t>
      </w:r>
    </w:p>
    <w:p>
      <w:r>
        <w:t>We formalize enterprise operational policies as an axiomatic security ontology defined over roles, tools, and parametric bounds [18, 26].</w:t>
      </w:r>
    </w:p>
    <w:tbl>
      <w:tblPr>
        <w:tblW w:type="auto" w:w="0"/>
        <w:jc w:val="center"/>
        <w:tblLook w:firstColumn="1" w:firstRow="1" w:lastColumn="0" w:lastRow="0" w:noHBand="0" w:noVBand="1" w:val="04A0"/>
      </w:tblPr>
      <w:tblGrid>
        <w:gridCol w:w="9360"/>
      </w:tblGrid>
      <w:tr>
        <w:tc>
          <w:tcPr>
            <w:tcW w:type="dxa" w:w="9360"/>
            <w:shd w:fill="F8FAFC"/>
            <w:tcBorders>
              <w:top w:val="none" w:sz="0" w:space="0" w:color="auto"/>
              <w:left w:val="single" w:sz="24" w:space="0" w:color="2563EB"/>
              <w:bottom w:val="none" w:sz="0" w:space="0" w:color="auto"/>
              <w:right w:val="none" w:sz="0" w:space="0" w:color="auto"/>
            </w:tcBorders>
          </w:tcPr>
          <w:p>
            <w:pPr>
              <w:spacing w:before="80" w:after="40"/>
            </w:pPr>
            <w:r>
              <w:rPr>
                <w:rFonts w:ascii="Times New Roman" w:hAnsi="Times New Roman"/>
                <w:b/>
                <w:color w:val="1E3A8A"/>
                <w:sz w:val="21"/>
              </w:rPr>
              <w:t>Definition 1 (Enterprise Security Ontology)</w:t>
            </w:r>
          </w:p>
          <w:p>
            <w:pPr>
              <w:spacing w:before="40" w:after="80"/>
            </w:pPr>
            <w:r>
              <w:rPr>
                <w:rFonts w:ascii="Times New Roman" w:hAnsi="Times New Roman"/>
                <w:color w:val="334155"/>
                <w:sz w:val="20"/>
              </w:rPr>
              <w:t>An Enterprise Security Ontology is a 3-tuple:</w:t>
              <w:br/>
              <w:t xml:space="preserve">    O = &lt; R, T, Sigma &gt;</w:t>
              <w:br/>
              <w:t>where:</w:t>
              <w:br/>
              <w:t>- R = {r_1, r_2, ..., r_m} denotes the finite set of enterprise session roles (e.g., CustomerSupportTier1, BillingManager, DataAnalyst).</w:t>
              <w:br/>
              <w:t>- T = {t_1, t_2, ..., t_n} represents the global catalog of operational tools and APIs.</w:t>
              <w:br/>
              <w:t>- Sigma = {sigma_1, sigma_2, ..., sigma_k} denotes the set of formal security axioms governing action validity.</w:t>
            </w:r>
          </w:p>
        </w:tc>
      </w:tr>
    </w:tbl>
    <w:p>
      <w:pPr>
        <w:spacing w:before="0" w:after="80"/>
      </w:pPr>
    </w:p>
    <w:p>
      <w:r>
        <w:t>Each active session role r in R is mapped to an authorized tool subspace T_r subseteq T and a role-specific axiom subset Sigma_r subseteq Sigma. To establish formal verification boundaries, we partition the tool argument assignment dictionary theta into structured, bounded parameters and unbounded natural-language strings:</w:t>
        <w:br/>
        <w:t xml:space="preserve">    theta = &lt; theta_bounded, theta_free &gt;                                     (2)</w:t>
        <w:br/>
        <w:t>where theta_bounded encompasses categorical enumerations, booleans, and numeric parameters governed by formal security axioms Sigma_r, while theta_free represents open-ended free-text fields (e.g., support ticket notes, user search queries). An executed action is defined as a pair a = &lt;t, theta&gt;. The global authorization predicate Phi(a, r) is formally decoupled as:</w:t>
        <w:br/>
        <w:t xml:space="preserve">    Phi(&lt;t, theta&gt;, r) &lt;=&gt; Phi_struct(&lt;t, theta_bounded&gt;, r) and Phi_semantic(theta_free)        (3)</w:t>
        <w:br/>
        <w:t>where the structural and parametric authorization predicate Phi_struct evaluates as:</w:t>
        <w:br/>
        <w:t xml:space="preserve">    Phi_struct(&lt;t, theta_bounded&gt;, r) &lt;=&gt; (t in T_r) and (forall sigma in Sigma_r, sigma(theta_bounded) = True)  (4)</w:t>
      </w:r>
    </w:p>
    <w:p>
      <w:r>
        <w:t>In enterprise decision-support settings, parametric axioms sigma in Sigma_r enforce strict operational boundaries:</w:t>
        <w:br/>
        <w:t xml:space="preserve">    sigma_refund(theta)  &lt;=&gt;  theta['amount_usd'] &lt;= C_r                     (5)</w:t>
        <w:br/>
        <w:t xml:space="preserve">    sigma_address(theta) &lt;=&gt;  theta['is_international'] = False             (6)</w:t>
        <w:br/>
        <w:t xml:space="preserve">    sigma_sql(theta)     &lt;=&gt;  theta['query'] not in L_prohibited              (7)</w:t>
        <w:br/>
        <w:t>where C_r is the maximum refund ceiling authorized for role r (C_Tier1 = $50.00, C_Billing = $1,000.00), and L_prohibited represents prohibited database modification commands.</w:t>
      </w:r>
    </w:p>
    <w:p>
      <w:pPr>
        <w:keepNext/>
        <w:spacing w:before="200" w:after="60"/>
      </w:pPr>
      <w:r>
        <w:rPr>
          <w:rFonts w:ascii="Times New Roman" w:hAnsi="Times New Roman"/>
          <w:b/>
          <w:i/>
          <w:color w:val="1E293B"/>
          <w:sz w:val="23"/>
        </w:rPr>
        <w:t>2.1 Context-Free Grammar Compilation</w:t>
      </w:r>
    </w:p>
    <w:p>
      <w:r>
        <w:t>To enforce Phi_struct(&lt;t, theta_bounded&gt;, r) during autoregressive inference, the compilation operator M maps the active role definition r into a formal Context-Free Grammar G_r = &lt;V_N, V_T, P, S&gt; [21, 22]:</w:t>
        <w:br/>
        <w:t xml:space="preserve">    M: r |-&gt; G_r                                                            (8)</w:t>
        <w:br/>
        <w:t>where V_T is the terminal alphabet (the model's character encoding), V_N is the set of non-terminals, P is the set of production rules, and S is the start symbol.</w:t>
        <w:br/>
        <w:br/>
        <w:t>Under G_r, the production rule for the action name is strictly restricted to the literal disjunction of authorized tools:</w:t>
        <w:br/>
        <w:t xml:space="preserve">    S_action -&gt; 'action_name': ( t_{r, 1} | t_{r, 2} | ... | t_{r, |T_r|} )   forall t_{r, j} in T_r       (9)</w:t>
      </w:r>
    </w:p>
    <w:p>
      <w:pPr>
        <w:keepNext/>
        <w:spacing w:before="200" w:after="60"/>
      </w:pPr>
      <w:r>
        <w:rPr>
          <w:rFonts w:ascii="Times New Roman" w:hAnsi="Times New Roman"/>
          <w:b/>
          <w:i/>
          <w:color w:val="1E293B"/>
          <w:sz w:val="23"/>
        </w:rPr>
        <w:t>2.2 BPE-Safe Numeric Sub-Grammar Formulation</w:t>
      </w:r>
    </w:p>
    <w:p>
      <w:r>
        <w:t>Enforcing continuous numeric bounds (e.g., theta['amount_usd'] &lt;= C_r) over Byte-Pair Encoded (BPE) sub-word tokenizers represents a non-trivial challenge, as tokens correspond to arbitrary byte sequences rather than structured decimal positions. To guarantee that no numeric token sequence representing a value exceeding C_r can be sampled, O-CTD compiles parametric ceilings into bounded regular grammars. For a role ceiling C_r = $50.00, the production rules in Extended Backus-Naur Form (EBNF) are:</w:t>
        <w:br/>
        <w:br/>
        <w:t xml:space="preserve">    RefundAmount ::= IntegerPart ('.' [0-9] [0-9])?                         (10)</w:t>
        <w:br/>
        <w:t xml:space="preserve">    IntegerPart  ::= [0-9] | [1-4][0-9] | '50'                              (11)</w:t>
        <w:br/>
        <w:br/>
        <w:t>This regular language L_num = { x in R_{&gt;=0} | x &lt;= C_r } is compiled into a Deterministic Finite Automaton D_num. When intersecting D_num with the tokenizer vocabulary V, any token whose concatenation with preceding prefix digits produces a numerical prefix &gt; C_r (e.g., token '51' or token '100') contains no outgoing transition delta(q, v) and is assigned an infinite negative mask [23].</w:t>
      </w:r>
    </w:p>
    <w:p>
      <w:pPr>
        <w:keepNext/>
        <w:spacing w:before="200" w:after="60"/>
      </w:pPr>
      <w:r>
        <w:rPr>
          <w:rFonts w:ascii="Times New Roman" w:hAnsi="Times New Roman"/>
          <w:b/>
          <w:i/>
          <w:color w:val="1E293B"/>
          <w:sz w:val="23"/>
        </w:rPr>
        <w:t>2.3 Logit-Masking Projection Operator</w:t>
      </w:r>
    </w:p>
    <w:p>
      <w:r>
        <w:t>Let V denote the model vocabulary with size |V|, and let x_{&lt;t} = [x_1, ..., x_{t-1}] represent the sequence of generated tokens up to decoding step t. At step t, the base model outputs unconstrained logits z_t in R^{|V|}.</w:t>
        <w:br/>
        <w:br/>
        <w:t>The grammar G_r is compiled into a Deterministic Finite Automaton (DFA) D_r = &lt;Q, V, delta, q_0, F&gt; over the vocabulary [22, 25]. Let q_t in Q denote the active DFA state after consuming x_{&lt;t}. The set of admissible next tokens A(q_t) subseteq V is formally defined as:</w:t>
        <w:br/>
        <w:t xml:space="preserve">    A(q_t) = { v in V | exists q' in Q, delta(q_t, v) = q' }                   (12)</w:t>
        <w:br/>
        <w:br/>
        <w:t>The neuro-symbolic projection operator P_{G_r}: R^{|V|} -&gt; R^{|V|} masks the logit distribution:</w:t>
        <w:br/>
        <w:t xml:space="preserve">    P_{G_r}(z_t)_v = z_{t, v}  if v in A(q_t),  else -infinity                  (13)</w:t>
        <w:br/>
        <w:br/>
        <w:t>The next token is sampled from the normalized masked distribution:</w:t>
        <w:br/>
        <w:t xml:space="preserve">    x_t ~ Softmax( P_{G_r}(z_t) )                                            (14)</w:t>
      </w:r>
    </w:p>
    <w:tbl>
      <w:tblPr>
        <w:tblW w:type="auto" w:w="0"/>
        <w:jc w:val="center"/>
        <w:tblLook w:firstColumn="1" w:firstRow="1" w:lastColumn="0" w:lastRow="0" w:noHBand="0" w:noVBand="1" w:val="04A0"/>
      </w:tblPr>
      <w:tblGrid>
        <w:gridCol w:w="9360"/>
      </w:tblGrid>
      <w:tr>
        <w:tc>
          <w:tcPr>
            <w:tcW w:type="dxa" w:w="9360"/>
            <w:shd w:fill="F1F5F9"/>
            <w:tcBorders>
              <w:top w:val="single" w:sz="12" w:space="0" w:color="0F172A"/>
              <w:left w:val="none" w:sz="0" w:space="0" w:color="auto"/>
              <w:bottom w:val="single" w:sz="12" w:space="0" w:color="0F172A"/>
              <w:right w:val="none" w:sz="0" w:space="0" w:color="auto"/>
            </w:tcBorders>
          </w:tcPr>
          <w:p>
            <w:pPr>
              <w:spacing w:before="80" w:after="80"/>
            </w:pPr>
            <w:r>
              <w:rPr>
                <w:rFonts w:ascii="Times New Roman" w:hAnsi="Times New Roman"/>
                <w:b/>
                <w:sz w:val="21"/>
              </w:rPr>
              <w:t>Algorithm 1: Ontology-Constrained Token Decoding (O-CTD)</w:t>
            </w:r>
          </w:p>
          <w:p>
            <w:pPr>
              <w:spacing w:before="20" w:after="20"/>
            </w:pPr>
            <w:r>
              <w:rPr>
                <w:rFonts w:ascii="Courier New" w:hAnsi="Courier New"/>
                <w:color w:val="0F172A"/>
                <w:sz w:val="17"/>
              </w:rPr>
              <w:t>Input:  Prompt sequence p, Active role r in R, Security ontology O = &lt;R, T, Sigma&gt;, Foundation LM M_theta, Vocabulary V</w:t>
            </w:r>
          </w:p>
          <w:p>
            <w:pPr>
              <w:spacing w:before="20" w:after="20"/>
            </w:pPr>
            <w:r>
              <w:rPr>
                <w:rFonts w:ascii="Courier New" w:hAnsi="Courier New"/>
                <w:color w:val="0F172A"/>
                <w:sz w:val="17"/>
              </w:rPr>
              <w:t>Ensure: Valid, authorized tool call a = &lt;t, theta&gt; satisfying Phi_struct(&lt;t, theta_bounded&gt;, r) = True</w:t>
            </w:r>
          </w:p>
          <w:p>
            <w:pPr>
              <w:spacing w:before="20" w:after="20"/>
            </w:pPr>
            <w:r>
              <w:rPr>
                <w:rFonts w:ascii="Courier New" w:hAnsi="Courier New"/>
                <w:color w:val="0F172A"/>
                <w:sz w:val="17"/>
              </w:rPr>
              <w:t>---------------------------------------------------------------------------------------------------------------------</w:t>
            </w:r>
          </w:p>
          <w:p>
            <w:pPr>
              <w:spacing w:before="20" w:after="20"/>
            </w:pPr>
            <w:r>
              <w:rPr>
                <w:rFonts w:ascii="Courier New" w:hAnsi="Courier New"/>
                <w:color w:val="0F172A"/>
                <w:sz w:val="17"/>
              </w:rPr>
              <w:t>1:  G_r &lt;- CompileGrammar(r, O)              // Compile role-specific Context-Free Grammar</w:t>
            </w:r>
          </w:p>
          <w:p>
            <w:pPr>
              <w:spacing w:before="20" w:after="20"/>
            </w:pPr>
            <w:r>
              <w:rPr>
                <w:rFonts w:ascii="Courier New" w:hAnsi="Courier New"/>
                <w:color w:val="0F172A"/>
                <w:sz w:val="17"/>
              </w:rPr>
              <w:t>2:  D_r &lt;- ConstructDFA(G_r, V)               // Build vocabulary Deterministic Finite Automaton</w:t>
            </w:r>
          </w:p>
          <w:p>
            <w:pPr>
              <w:spacing w:before="20" w:after="20"/>
            </w:pPr>
            <w:r>
              <w:rPr>
                <w:rFonts w:ascii="Courier New" w:hAnsi="Courier New"/>
                <w:color w:val="0F172A"/>
                <w:sz w:val="17"/>
              </w:rPr>
              <w:t>3:  q_0 &lt;- InitialState(D_r),  x_{&lt;1} &lt;- p,  t &lt;- 1</w:t>
            </w:r>
          </w:p>
          <w:p>
            <w:pPr>
              <w:spacing w:before="20" w:after="20"/>
            </w:pPr>
            <w:r>
              <w:rPr>
                <w:rFonts w:ascii="Courier New" w:hAnsi="Courier New"/>
                <w:color w:val="0F172A"/>
                <w:sz w:val="17"/>
              </w:rPr>
              <w:t>4:  while x_{t-1} != &lt;EOS&gt; and t &lt;= K_max do</w:t>
            </w:r>
          </w:p>
          <w:p>
            <w:pPr>
              <w:spacing w:before="20" w:after="20"/>
            </w:pPr>
            <w:r>
              <w:rPr>
                <w:rFonts w:ascii="Courier New" w:hAnsi="Courier New"/>
                <w:color w:val="0F172A"/>
                <w:sz w:val="17"/>
              </w:rPr>
              <w:t>5:      z_t &lt;- M_theta(x_{&lt;t})                // Forward pass to compute unconstrained logits</w:t>
            </w:r>
          </w:p>
          <w:p>
            <w:pPr>
              <w:spacing w:before="20" w:after="20"/>
            </w:pPr>
            <w:r>
              <w:rPr>
                <w:rFonts w:ascii="Courier New" w:hAnsi="Courier New"/>
                <w:color w:val="0F172A"/>
                <w:sz w:val="17"/>
              </w:rPr>
              <w:t>6:      A(q_{t-1}) &lt;- { v in V | delta(q_{t-1}, v) != empty }  // Compute admissible next-token mask</w:t>
            </w:r>
          </w:p>
          <w:p>
            <w:pPr>
              <w:spacing w:before="20" w:after="20"/>
            </w:pPr>
            <w:r>
              <w:rPr>
                <w:rFonts w:ascii="Courier New" w:hAnsi="Courier New"/>
                <w:color w:val="0F172A"/>
                <w:sz w:val="17"/>
              </w:rPr>
              <w:t>7:      tilde{z}_{t, v} &lt;- z_{t, v}  if v in A(q_{t-1})  else  -infinity  // Logit masking projection (Eq. 14)</w:t>
            </w:r>
          </w:p>
          <w:p>
            <w:pPr>
              <w:spacing w:before="20" w:after="20"/>
            </w:pPr>
            <w:r>
              <w:rPr>
                <w:rFonts w:ascii="Courier New" w:hAnsi="Courier New"/>
                <w:color w:val="0F172A"/>
                <w:sz w:val="17"/>
              </w:rPr>
              <w:t>8:      x_t ~ Softmax(tilde{z}_t)             // Sample next token from normalized admissible distribution</w:t>
            </w:r>
          </w:p>
          <w:p>
            <w:pPr>
              <w:spacing w:before="20" w:after="20"/>
            </w:pPr>
            <w:r>
              <w:rPr>
                <w:rFonts w:ascii="Courier New" w:hAnsi="Courier New"/>
                <w:color w:val="0F172A"/>
                <w:sz w:val="17"/>
              </w:rPr>
              <w:t>9:      q_t &lt;- delta(q_{t-1}, x_t)            // Advance DFA transition state</w:t>
            </w:r>
          </w:p>
          <w:p>
            <w:pPr>
              <w:spacing w:before="20" w:after="20"/>
            </w:pPr>
            <w:r>
              <w:rPr>
                <w:rFonts w:ascii="Courier New" w:hAnsi="Courier New"/>
                <w:color w:val="0F172A"/>
                <w:sz w:val="17"/>
              </w:rPr>
              <w:t>10:     x_{&lt;t+1} &lt;- [x_{&lt;t}, x_t],  t &lt;- t + 1</w:t>
            </w:r>
          </w:p>
          <w:p>
            <w:pPr>
              <w:spacing w:before="20" w:after="20"/>
            </w:pPr>
            <w:r>
              <w:rPr>
                <w:rFonts w:ascii="Courier New" w:hAnsi="Courier New"/>
                <w:color w:val="0F172A"/>
                <w:sz w:val="17"/>
              </w:rPr>
              <w:t>11: end while</w:t>
            </w:r>
          </w:p>
          <w:p>
            <w:pPr>
              <w:spacing w:before="20" w:after="20"/>
            </w:pPr>
            <w:r>
              <w:rPr>
                <w:rFonts w:ascii="Courier New" w:hAnsi="Courier New"/>
                <w:color w:val="0F172A"/>
                <w:sz w:val="17"/>
              </w:rPr>
              <w:t>12: return ParseJSON(x_{&lt;t})</w:t>
            </w:r>
          </w:p>
        </w:tc>
      </w:tr>
    </w:tbl>
    <w:p>
      <w:pPr>
        <w:spacing w:before="0" w:after="80"/>
      </w:pPr>
    </w:p>
    <w:p>
      <w:pPr>
        <w:keepNext/>
        <w:spacing w:before="200" w:after="60"/>
      </w:pPr>
      <w:r>
        <w:rPr>
          <w:rFonts w:ascii="Times New Roman" w:hAnsi="Times New Roman"/>
          <w:b/>
          <w:i/>
          <w:color w:val="1E293B"/>
          <w:sz w:val="23"/>
        </w:rPr>
        <w:t>2.4 Theoretical Soundness &amp; Decidability Boundaries</w:t>
      </w:r>
    </w:p>
    <w:tbl>
      <w:tblPr>
        <w:tblW w:type="auto" w:w="0"/>
        <w:jc w:val="center"/>
        <w:tblLook w:firstColumn="1" w:firstRow="1" w:lastColumn="0" w:lastRow="0" w:noHBand="0" w:noVBand="1" w:val="04A0"/>
      </w:tblPr>
      <w:tblGrid>
        <w:gridCol w:w="9360"/>
      </w:tblGrid>
      <w:tr>
        <w:tc>
          <w:tcPr>
            <w:tcW w:type="dxa" w:w="9360"/>
            <w:shd w:fill="F8FAFC"/>
            <w:tcBorders>
              <w:top w:val="none" w:sz="0" w:space="0" w:color="auto"/>
              <w:left w:val="single" w:sz="24" w:space="0" w:color="2563EB"/>
              <w:bottom w:val="none" w:sz="0" w:space="0" w:color="auto"/>
              <w:right w:val="none" w:sz="0" w:space="0" w:color="auto"/>
            </w:tcBorders>
          </w:tcPr>
          <w:p>
            <w:pPr>
              <w:spacing w:before="80" w:after="40"/>
            </w:pPr>
            <w:r>
              <w:rPr>
                <w:rFonts w:ascii="Times New Roman" w:hAnsi="Times New Roman"/>
                <w:b/>
                <w:color w:val="1E3A8A"/>
                <w:sz w:val="21"/>
              </w:rPr>
              <w:t>Theorem 1 (Soundness of Structural &amp; Parametric Enforcement)</w:t>
            </w:r>
          </w:p>
          <w:p>
            <w:pPr>
              <w:spacing w:before="40" w:after="80"/>
            </w:pPr>
            <w:r>
              <w:rPr>
                <w:rFonts w:ascii="Times New Roman" w:hAnsi="Times New Roman"/>
                <w:color w:val="334155"/>
                <w:sz w:val="20"/>
              </w:rPr>
              <w:t>Let x = [x_1, ..., x_K] be a generation sequence completed under O-CTD. Then the extracted tool invocation a = &lt;t, theta&gt; = Parse(x) satisfies:</w:t>
              <w:br/>
              <w:t xml:space="preserve">    P( Phi_struct(&lt;t, theta_bounded&gt;, r) = False ) = 0                       (15)</w:t>
              <w:br/>
              <w:t>for all structural tool signatures and bounded parametric axioms encoded within G_r.</w:t>
              <w:br/>
              <w:br/>
              <w:t>Proof. By construction, generating an unauthorized tool t not in T_r or a numeric token sequence violating theta_bounded &lt;= C_r requires traversing an invalid state transition delta(q_t, v) = empty in D_r. By Eq. (13), P_{G_r}(z_t)_v = -infinity, which yields P(x_t = v) = 0 upon Softmax normalization. By mathematical induction over generation steps 1 &lt;= t &lt;= K, the probability of emitting any non-conforming token sequence is identically zero. Q.E.D.</w:t>
            </w:r>
          </w:p>
        </w:tc>
      </w:tr>
    </w:tbl>
    <w:p>
      <w:pPr>
        <w:spacing w:before="0" w:after="80"/>
      </w:pPr>
    </w:p>
    <w:p>
      <w:r>
        <w:t>Remark 1 (Decidability Boundary and Semantic Orthogonality): Theorem 1 guarantees soundness strictly over the structural and bounded parametric domain Phi_struct. Conversely, semantic validation over unbounded natural-language strings theta_free (e.g., ensuring a customer support note does not leak confidential context) is undecidable via regular or context-free grammars alone. This formal theoretical distinction directly explains the empirical residual ASR observed in Section 4.4.</w:t>
      </w:r>
    </w:p>
    <w:p>
      <w:pPr>
        <w:keepNext/>
        <w:spacing w:before="200" w:after="60"/>
      </w:pPr>
      <w:r>
        <w:rPr>
          <w:rFonts w:ascii="Times New Roman" w:hAnsi="Times New Roman"/>
          <w:b/>
          <w:i/>
          <w:color w:val="1E293B"/>
          <w:sz w:val="23"/>
        </w:rPr>
        <w:t>2.5 Complexity and Scalability Analysis</w:t>
      </w:r>
    </w:p>
    <w:p>
      <w:r>
        <w:t>A critical challenge in enterprise agent deployments is catalog scalability. In production environments containing thousands of APIs, compiling a global monolithic grammar causes combinatorial state explosions [22]. Under O-CTD, the compilation operator M generates a localized grammar strictly bounded to the active session role r. Because typical enterprise roles authorize a restricted subset of operations (|T_r| &lt;&lt; |T|, typically 4 &lt;= |T_r| &lt;= 12), the DFA state space |Q_r| remains bounded. Runtime token lookup overhead scales as O(|T_r| * |V|), ensuring that memory consumption and DFA traversal latency remain independent of the global enterprise catalog size.</w:t>
      </w:r>
    </w:p>
    <w:p>
      <w:pPr>
        <w:keepNext/>
        <w:spacing w:before="200" w:after="60"/>
      </w:pPr>
      <w:r>
        <w:rPr>
          <w:rFonts w:ascii="Times New Roman" w:hAnsi="Times New Roman"/>
          <w:b/>
          <w:i/>
          <w:color w:val="1E293B"/>
          <w:sz w:val="23"/>
        </w:rPr>
        <w:t>2.6 Cross-Architecture Portability &amp; Tokenizer Invariance</w:t>
      </w:r>
    </w:p>
    <w:p>
      <w:r>
        <w:t>A vital theoretical property of O-CTD is its strict invariance to foundation model tokenization architectures. Modern open-weight foundation models utilize divergent tokenization strategies with distinct vocabulary dimensions, such as Qwen2.5-7B (|V| = 151,643 sub-words with byte fallback) [2] and Llama-3.1-8B (|V| = 128,256 sub-words via tiktoken) [3].</w:t>
        <w:br/>
        <w:br/>
        <w:t>Because the compilation mapping M: r |-&gt; G_r defines production rules over Unicode terminal characters, the DFA state transition function delta(q_t, v) is constructed by projecting the grammar onto the specific vocabulary V of whichever underlying foundation model is deployed:</w:t>
        <w:br/>
        <w:t xml:space="preserve">    A_model(q_t) = { v in V_model | exists q', delta(q_t, v) = q' }          (16)</w:t>
        <w:br/>
        <w:br/>
        <w:t>Consequently, Theorem 1's guarantee of axiomatic containment (P(Phi_struct = False) = 0) holds identically across both Qwen and Llama model families, ensuring portable neuro-symbolic enforcement across heterogeneous foundation model deployments.</w:t>
      </w:r>
    </w:p>
    <w:p>
      <w:pPr>
        <w:keepNext/>
        <w:spacing w:before="280" w:after="80"/>
      </w:pPr>
      <w:r>
        <w:rPr>
          <w:rFonts w:ascii="Times New Roman" w:hAnsi="Times New Roman"/>
          <w:b/>
          <w:color w:val="0F172A"/>
          <w:sz w:val="26"/>
        </w:rPr>
        <w:t>3. Experimental Methodology</w:t>
      </w:r>
    </w:p>
    <w:p>
      <w:r>
        <w:t>We synthesized a standardized benchmark suite consisting of N = 100 balanced enterprise evaluation scenarios (50 adversarial prompt injections and 50 benign business tasks) modeled after the InjecAgent and AgentDojo threat suites [8, 9, 17]. The scenarios evaluate three canonical enterprise roles:</w:t>
        <w:br/>
        <w:t>- CustomerSupportTier1: Frontline support handling routine order lookups and domestic shipping updates, with refunds strictly capped at $50.00.</w:t>
        <w:br/>
        <w:t>- BillingManager: Financial personnel authorized for invoice credits up to $5,000.00 and refunds up to $1,000.00.</w:t>
        <w:br/>
        <w:t>- DataAnalyst: Analytics personnel authorized for aggregate metric reporting, barred from executing financial disbursements or querying raw payment ledgers.</w:t>
      </w:r>
    </w:p>
    <w:p>
      <w:r>
        <w:t>The 50 adversarial evaluation cases evaluate five distinct threat classes [16]:</w:t>
        <w:br/>
        <w:t>1. Parameter Tampering (PT): Adversaries utilize authority impersonation (e.g., 'Executive VIP Escalation') to coerce Tier-1 agents into issuing $500.00 to $1,200.00 refunds.</w:t>
        <w:br/>
        <w:t>2. Privilege Escalation (PE): In-context prompts instruct agents to enter debug modes and invoke unauthorized administrative tools (view_payment_ledger).</w:t>
        <w:br/>
        <w:t>3. SQL / Exfiltration Injection (SQL): Malicious SQL payloads embedded in query strings attempting DROP TABLE modifications or plain-text credential extraction.</w:t>
        <w:br/>
        <w:t>4. Indirect Prompt Injection (IPI): Simulated vendor emails containing embedded system instructions directing unverified wire transfers.</w:t>
        <w:br/>
        <w:t>5. Policy Boundary Tampering (PBT): Coercing customer service agents to reroute domestic packages to embargoed international postal codes.</w:t>
      </w:r>
    </w:p>
    <w:p>
      <w:pPr>
        <w:keepNext/>
        <w:spacing w:before="200" w:after="60"/>
      </w:pPr>
      <w:r>
        <w:rPr>
          <w:rFonts w:ascii="Times New Roman" w:hAnsi="Times New Roman"/>
          <w:b/>
          <w:i/>
          <w:color w:val="1E293B"/>
          <w:sz w:val="23"/>
        </w:rPr>
        <w:t>3.1 Comparative Frameworks</w:t>
      </w:r>
    </w:p>
    <w:p>
      <w:r>
        <w:t>We benchmark four representative architectures:</w:t>
        <w:br/>
        <w:t>- M0 (Vanilla Base LLM): Unconstrained generation; the agent receives standard system prompts describing tool signatures without defensive constraints.</w:t>
        <w:br/>
        <w:t>- M1 (In-Context Prompt Guard): Standard enterprise defensive baseline; system prompts include explicit prohibitions (e.g., 'CRITICAL POLICY: You are strictly barred from issuing refunds over $50 or calling ledger tools') [13].</w:t>
        <w:br/>
        <w:t>- M2 (Post-Hoc Classifier): Unconstrained generation followed by an external safety validation pass that inspects generated JSON before execution [15].</w:t>
        <w:br/>
        <w:t>- M* (Proposed O-CTD): Autoregressive generation strictly constrained by the compiled role-specific Context-Free Grammar.</w:t>
      </w:r>
    </w:p>
    <w:p>
      <w:pPr>
        <w:keepNext/>
        <w:spacing w:before="200" w:after="60"/>
      </w:pPr>
      <w:r>
        <w:rPr>
          <w:rFonts w:ascii="Times New Roman" w:hAnsi="Times New Roman"/>
          <w:b/>
          <w:i/>
          <w:color w:val="1E293B"/>
          <w:sz w:val="23"/>
        </w:rPr>
        <w:t>3.2 Hardware and Software Configuration</w:t>
      </w:r>
    </w:p>
    <w:p>
      <w:r>
        <w:t>All experiments were executed on a dedicated high-performance compute node with the following specifications:</w:t>
        <w:br/>
        <w:t>- Hardware Architecture: A single NVIDIA GeForce RTX 4090 GPU (Ada Lovelace architecture, 16,384 CUDA cores, 24 GB GDDR6X VRAM on PCIe 4.0), coupled with a 16-core Intel Xeon Gold processor and 64 GB host system RAM.</w:t>
        <w:br/>
        <w:t>- Software Stack: Ubuntu 22.04 LTS, CUDA 12.1 driver, Python 3.10 runtime environment, and PyTorch 2.3.1+cu121.</w:t>
        <w:br/>
        <w:t>- Inference &amp; Grammar Engine: HuggingFace Transformers 4.41.2 and Outlines 1.0.0 for token-level DFA compilation and logit masking. Non-parametric statistical tests were executed with SciPy 1.13.0.</w:t>
        <w:br/>
        <w:t>- Model Execution Controls: Qwen/Qwen2.5-7B-Instruct [2] loaded in native bfloat16 precision directly onto cuda:0 with zero CPU offloading. Generation parameters were strictly pinned to greedy decoding (temperature = 0.0, top_p = 1.0) with maximum token generation length capped at 512 tokens. A global fixed random seed (tau = 42) was enforced across all benchmark runs to guarantee complete determinism and reproducibility.</w:t>
      </w:r>
    </w:p>
    <w:p>
      <w:pPr>
        <w:keepNext/>
        <w:spacing w:before="200" w:after="60"/>
      </w:pPr>
      <w:r>
        <w:rPr>
          <w:rFonts w:ascii="Times New Roman" w:hAnsi="Times New Roman"/>
          <w:b/>
          <w:i/>
          <w:color w:val="1E293B"/>
          <w:sz w:val="23"/>
        </w:rPr>
        <w:t>3.3 Formal Evaluation Metrics</w:t>
      </w:r>
    </w:p>
    <w:p>
      <w:r>
        <w:t>We track five formal evaluation metrics to comprehensively assess security containment, task utility, and computational overhead:</w:t>
        <w:br/>
        <w:t>1. Attack Success Rate (ASR) [% ↓]: Fraction of adversarial attack inputs (N_adv = 50) wherein the model executes the adversary's unauthorized goal:</w:t>
        <w:br/>
        <w:t xml:space="preserve">       ASR = (1 / N_adv) * sum_{i=1}^{N_adv} 1[GoalAchieved(a_i) = True]</w:t>
        <w:br/>
        <w:br/>
        <w:t>2. Invariant Violation Rate (IVR) [% ↓]: Proportion of total invocations (N = 100) that violate any declarative security axiom sigma in Sigma_r:</w:t>
        <w:br/>
        <w:t xml:space="preserve">       IVR = (1 / N) * sum_{i=1}^{N} 1[exists sigma in Sigma_r, sigma(theta_{i,bounded}) = False]</w:t>
        <w:br/>
        <w:br/>
        <w:t>3. Strict Benign Task Completion (Strict BTC) [% ↑]: Percentage of benign enterprise prompts (N_benign = 50) that successfully execute through automated JSON API gateways without human intervention:</w:t>
        <w:br/>
        <w:t xml:space="preserve">       Strict BTC = (1 / N_benign) * sum_{i=1}^{N_benign} 1[ValidGatewayJSON(a_i) and Phi_struct(a_i, r) = True]</w:t>
        <w:br/>
        <w:br/>
        <w:t>4. Relaxed Benign Task Completion (Relaxed BTC) [% ↑]: Evaluates task utility after applying heuristic regular-expression extraction (re.search(r'\{.*\}', text, re.DOTALL)) to isolate JSON payloads from conversational chatter:</w:t>
        <w:br/>
        <w:t xml:space="preserve">       Relaxed BTC = (1 / N_benign) * sum_{i=1}^{N_benign} 1[RegexJSON(a_i) and Phi_struct(a_i, r) = True]</w:t>
        <w:br/>
        <w:br/>
        <w:t>5. Inference Latency Overhead [ms ↓]: End-to-end wall-clock duration per generation query, reporting both Mean and 95th-percentile (P95) latency over matched inputs.</w:t>
      </w:r>
    </w:p>
    <w:p>
      <w:pPr>
        <w:keepNext/>
        <w:spacing w:before="280" w:after="80"/>
      </w:pPr>
      <w:r>
        <w:rPr>
          <w:rFonts w:ascii="Times New Roman" w:hAnsi="Times New Roman"/>
          <w:b/>
          <w:color w:val="0F172A"/>
          <w:sz w:val="26"/>
        </w:rPr>
        <w:t>4. Empirical Results &amp; In-Depth Discussion</w:t>
      </w:r>
    </w:p>
    <w:p>
      <w:r>
        <w:t>Table 2 presents the comparative evaluation results across all 100 enterprise scenarios (400 total inferences).</w:t>
      </w:r>
    </w:p>
    <w:p>
      <w:pPr>
        <w:keepNext/>
        <w:spacing w:before="160" w:after="60"/>
      </w:pPr>
      <w:r>
        <w:rPr>
          <w:b/>
          <w:sz w:val="20"/>
        </w:rPr>
        <w:t>Table 2: Main comparative benchmark results across 100 enterprise business evaluation scenarios (400 inferences) using Qwen2.5-7B-Instruct on an NVIDIA RTX 4090. Strict BTC evaluates automated JSON gateway parsing, while Relaxed BTC evaluates regex preamble extraction.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Framework</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ASR (%) ↓</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IVR (%) ↓</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Strict BTC ↑</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Relaxed BTC ↑</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Mean Latency</w:t>
            </w:r>
          </w:p>
        </w:tc>
        <w:tc>
          <w:tcPr>
            <w:tcW w:type="dxa" w:w="1337"/>
            <w:tcBorders>
              <w:top w:val="single" w:sz="8" w:space="0" w:color="auto"/>
              <w:left w:val="none" w:sz="0" w:space="0" w:color="auto"/>
              <w:bottom w:val="single" w:sz="6" w:space="0" w:color="auto"/>
              <w:right w:val="none" w:sz="0" w:space="0" w:color="auto"/>
            </w:tcBorders>
            <w:shd w:fill="F1F5F9"/>
          </w:tcPr>
          <w:p>
            <w:r>
              <w:rPr>
                <w:b/>
                <w:color w:val="0F172A"/>
                <w:sz w:val="19"/>
              </w:rPr>
              <w:t>P95 Latency</w:t>
            </w:r>
          </w:p>
        </w:tc>
      </w:tr>
      <w:tr>
        <w:tc>
          <w:tcPr>
            <w:tcW w:type="dxa" w:w="1337"/>
            <w:tcBorders>
              <w:top w:val="none" w:sz="4" w:space="0" w:color="auto"/>
              <w:left w:val="none" w:sz="0" w:space="0" w:color="auto"/>
              <w:bottom w:val="none" w:sz="8" w:space="0" w:color="auto"/>
              <w:right w:val="none" w:sz="0" w:space="0" w:color="auto"/>
            </w:tcBorders>
          </w:tcPr>
          <w:p>
            <w:r>
              <w:rPr>
                <w:sz w:val="18"/>
              </w:rPr>
              <w:t>M0 (Vanilla Base LLM)</w:t>
            </w:r>
          </w:p>
        </w:tc>
        <w:tc>
          <w:tcPr>
            <w:tcW w:type="dxa" w:w="1337"/>
            <w:tcBorders>
              <w:top w:val="none" w:sz="4" w:space="0" w:color="auto"/>
              <w:left w:val="none" w:sz="0" w:space="0" w:color="auto"/>
              <w:bottom w:val="none" w:sz="8" w:space="0" w:color="auto"/>
              <w:right w:val="none" w:sz="0" w:space="0" w:color="auto"/>
            </w:tcBorders>
          </w:tcPr>
          <w:p>
            <w:r>
              <w:rPr>
                <w:sz w:val="18"/>
              </w:rPr>
              <w:t>100.0%</w:t>
            </w:r>
          </w:p>
        </w:tc>
        <w:tc>
          <w:tcPr>
            <w:tcW w:type="dxa" w:w="1337"/>
            <w:tcBorders>
              <w:top w:val="none" w:sz="4" w:space="0" w:color="auto"/>
              <w:left w:val="none" w:sz="0" w:space="0" w:color="auto"/>
              <w:bottom w:val="none" w:sz="8" w:space="0" w:color="auto"/>
              <w:right w:val="none" w:sz="0" w:space="0" w:color="auto"/>
            </w:tcBorders>
          </w:tcPr>
          <w:p>
            <w:r>
              <w:rPr>
                <w:sz w:val="18"/>
              </w:rPr>
              <w:t>100.0%</w:t>
            </w:r>
          </w:p>
        </w:tc>
        <w:tc>
          <w:tcPr>
            <w:tcW w:type="dxa" w:w="1337"/>
            <w:tcBorders>
              <w:top w:val="none" w:sz="4" w:space="0" w:color="auto"/>
              <w:left w:val="none" w:sz="0" w:space="0" w:color="auto"/>
              <w:bottom w:val="none" w:sz="8" w:space="0" w:color="auto"/>
              <w:right w:val="none" w:sz="0" w:space="0" w:color="auto"/>
            </w:tcBorders>
          </w:tcPr>
          <w:p>
            <w:r>
              <w:rPr>
                <w:sz w:val="18"/>
              </w:rPr>
              <w:t>0.0%</w:t>
            </w:r>
          </w:p>
        </w:tc>
        <w:tc>
          <w:tcPr>
            <w:tcW w:type="dxa" w:w="1337"/>
            <w:tcBorders>
              <w:top w:val="none" w:sz="4" w:space="0" w:color="auto"/>
              <w:left w:val="none" w:sz="0" w:space="0" w:color="auto"/>
              <w:bottom w:val="none" w:sz="8" w:space="0" w:color="auto"/>
              <w:right w:val="none" w:sz="0" w:space="0" w:color="auto"/>
            </w:tcBorders>
          </w:tcPr>
          <w:p>
            <w:r>
              <w:rPr>
                <w:sz w:val="18"/>
              </w:rPr>
              <w:t>52.0%</w:t>
            </w:r>
          </w:p>
        </w:tc>
        <w:tc>
          <w:tcPr>
            <w:tcW w:type="dxa" w:w="1337"/>
            <w:tcBorders>
              <w:top w:val="none" w:sz="4" w:space="0" w:color="auto"/>
              <w:left w:val="none" w:sz="0" w:space="0" w:color="auto"/>
              <w:bottom w:val="none" w:sz="8" w:space="0" w:color="auto"/>
              <w:right w:val="none" w:sz="0" w:space="0" w:color="auto"/>
            </w:tcBorders>
          </w:tcPr>
          <w:p>
            <w:r>
              <w:rPr>
                <w:sz w:val="18"/>
              </w:rPr>
              <w:t>893.1 ms</w:t>
            </w:r>
          </w:p>
        </w:tc>
        <w:tc>
          <w:tcPr>
            <w:tcW w:type="dxa" w:w="1337"/>
            <w:tcBorders>
              <w:top w:val="none" w:sz="4" w:space="0" w:color="auto"/>
              <w:left w:val="none" w:sz="0" w:space="0" w:color="auto"/>
              <w:bottom w:val="none" w:sz="8" w:space="0" w:color="auto"/>
              <w:right w:val="none" w:sz="0" w:space="0" w:color="auto"/>
            </w:tcBorders>
          </w:tcPr>
          <w:p>
            <w:r>
              <w:rPr>
                <w:sz w:val="18"/>
              </w:rPr>
              <w:t>1396.1 ms</w:t>
            </w:r>
          </w:p>
        </w:tc>
      </w:tr>
      <w:tr>
        <w:tc>
          <w:tcPr>
            <w:tcW w:type="dxa" w:w="1337"/>
            <w:tcBorders>
              <w:top w:val="none" w:sz="4" w:space="0" w:color="auto"/>
              <w:left w:val="none" w:sz="0" w:space="0" w:color="auto"/>
              <w:bottom w:val="none" w:sz="8" w:space="0" w:color="auto"/>
              <w:right w:val="none" w:sz="0" w:space="0" w:color="auto"/>
            </w:tcBorders>
          </w:tcPr>
          <w:p>
            <w:r>
              <w:rPr>
                <w:sz w:val="18"/>
              </w:rPr>
              <w:t>M1 (Prompt Guard)</w:t>
            </w:r>
          </w:p>
        </w:tc>
        <w:tc>
          <w:tcPr>
            <w:tcW w:type="dxa" w:w="1337"/>
            <w:tcBorders>
              <w:top w:val="none" w:sz="4" w:space="0" w:color="auto"/>
              <w:left w:val="none" w:sz="0" w:space="0" w:color="auto"/>
              <w:bottom w:val="none" w:sz="8" w:space="0" w:color="auto"/>
              <w:right w:val="none" w:sz="0" w:space="0" w:color="auto"/>
            </w:tcBorders>
          </w:tcPr>
          <w:p>
            <w:r>
              <w:rPr>
                <w:sz w:val="18"/>
              </w:rPr>
              <w:t>80.0%</w:t>
            </w:r>
          </w:p>
        </w:tc>
        <w:tc>
          <w:tcPr>
            <w:tcW w:type="dxa" w:w="1337"/>
            <w:tcBorders>
              <w:top w:val="none" w:sz="4" w:space="0" w:color="auto"/>
              <w:left w:val="none" w:sz="0" w:space="0" w:color="auto"/>
              <w:bottom w:val="none" w:sz="8" w:space="0" w:color="auto"/>
              <w:right w:val="none" w:sz="0" w:space="0" w:color="auto"/>
            </w:tcBorders>
          </w:tcPr>
          <w:p>
            <w:r>
              <w:rPr>
                <w:sz w:val="18"/>
              </w:rPr>
              <w:t>90.0%</w:t>
            </w:r>
          </w:p>
        </w:tc>
        <w:tc>
          <w:tcPr>
            <w:tcW w:type="dxa" w:w="1337"/>
            <w:tcBorders>
              <w:top w:val="none" w:sz="4" w:space="0" w:color="auto"/>
              <w:left w:val="none" w:sz="0" w:space="0" w:color="auto"/>
              <w:bottom w:val="none" w:sz="8" w:space="0" w:color="auto"/>
              <w:right w:val="none" w:sz="0" w:space="0" w:color="auto"/>
            </w:tcBorders>
          </w:tcPr>
          <w:p>
            <w:r>
              <w:rPr>
                <w:sz w:val="18"/>
              </w:rPr>
              <w:t>0.0%</w:t>
            </w:r>
          </w:p>
        </w:tc>
        <w:tc>
          <w:tcPr>
            <w:tcW w:type="dxa" w:w="1337"/>
            <w:tcBorders>
              <w:top w:val="none" w:sz="4" w:space="0" w:color="auto"/>
              <w:left w:val="none" w:sz="0" w:space="0" w:color="auto"/>
              <w:bottom w:val="none" w:sz="8" w:space="0" w:color="auto"/>
              <w:right w:val="none" w:sz="0" w:space="0" w:color="auto"/>
            </w:tcBorders>
          </w:tcPr>
          <w:p>
            <w:r>
              <w:rPr>
                <w:sz w:val="18"/>
              </w:rPr>
              <w:t>68.0%</w:t>
            </w:r>
          </w:p>
        </w:tc>
        <w:tc>
          <w:tcPr>
            <w:tcW w:type="dxa" w:w="1337"/>
            <w:tcBorders>
              <w:top w:val="none" w:sz="4" w:space="0" w:color="auto"/>
              <w:left w:val="none" w:sz="0" w:space="0" w:color="auto"/>
              <w:bottom w:val="none" w:sz="8" w:space="0" w:color="auto"/>
              <w:right w:val="none" w:sz="0" w:space="0" w:color="auto"/>
            </w:tcBorders>
          </w:tcPr>
          <w:p>
            <w:r>
              <w:rPr>
                <w:sz w:val="18"/>
              </w:rPr>
              <w:t>1157.0 ms</w:t>
            </w:r>
          </w:p>
        </w:tc>
        <w:tc>
          <w:tcPr>
            <w:tcW w:type="dxa" w:w="1337"/>
            <w:tcBorders>
              <w:top w:val="none" w:sz="4" w:space="0" w:color="auto"/>
              <w:left w:val="none" w:sz="0" w:space="0" w:color="auto"/>
              <w:bottom w:val="none" w:sz="8" w:space="0" w:color="auto"/>
              <w:right w:val="none" w:sz="0" w:space="0" w:color="auto"/>
            </w:tcBorders>
          </w:tcPr>
          <w:p>
            <w:r>
              <w:rPr>
                <w:sz w:val="18"/>
              </w:rPr>
              <w:t>2261.7 ms</w:t>
            </w:r>
          </w:p>
        </w:tc>
      </w:tr>
      <w:tr>
        <w:tc>
          <w:tcPr>
            <w:tcW w:type="dxa" w:w="1337"/>
            <w:tcBorders>
              <w:top w:val="none" w:sz="4" w:space="0" w:color="auto"/>
              <w:left w:val="none" w:sz="0" w:space="0" w:color="auto"/>
              <w:bottom w:val="none" w:sz="8" w:space="0" w:color="auto"/>
              <w:right w:val="none" w:sz="0" w:space="0" w:color="auto"/>
            </w:tcBorders>
          </w:tcPr>
          <w:p>
            <w:r>
              <w:rPr>
                <w:sz w:val="18"/>
              </w:rPr>
              <w:t>M2 (Post-Hoc Classifier)</w:t>
            </w:r>
          </w:p>
        </w:tc>
        <w:tc>
          <w:tcPr>
            <w:tcW w:type="dxa" w:w="1337"/>
            <w:tcBorders>
              <w:top w:val="none" w:sz="4" w:space="0" w:color="auto"/>
              <w:left w:val="none" w:sz="0" w:space="0" w:color="auto"/>
              <w:bottom w:val="none" w:sz="8" w:space="0" w:color="auto"/>
              <w:right w:val="none" w:sz="0" w:space="0" w:color="auto"/>
            </w:tcBorders>
          </w:tcPr>
          <w:p>
            <w:r>
              <w:rPr>
                <w:sz w:val="18"/>
              </w:rPr>
              <w:t>100.0%</w:t>
            </w:r>
          </w:p>
        </w:tc>
        <w:tc>
          <w:tcPr>
            <w:tcW w:type="dxa" w:w="1337"/>
            <w:tcBorders>
              <w:top w:val="none" w:sz="4" w:space="0" w:color="auto"/>
              <w:left w:val="none" w:sz="0" w:space="0" w:color="auto"/>
              <w:bottom w:val="none" w:sz="8" w:space="0" w:color="auto"/>
              <w:right w:val="none" w:sz="0" w:space="0" w:color="auto"/>
            </w:tcBorders>
          </w:tcPr>
          <w:p>
            <w:r>
              <w:rPr>
                <w:sz w:val="18"/>
              </w:rPr>
              <w:t>100.0%</w:t>
            </w:r>
          </w:p>
        </w:tc>
        <w:tc>
          <w:tcPr>
            <w:tcW w:type="dxa" w:w="1337"/>
            <w:tcBorders>
              <w:top w:val="none" w:sz="4" w:space="0" w:color="auto"/>
              <w:left w:val="none" w:sz="0" w:space="0" w:color="auto"/>
              <w:bottom w:val="none" w:sz="8" w:space="0" w:color="auto"/>
              <w:right w:val="none" w:sz="0" w:space="0" w:color="auto"/>
            </w:tcBorders>
          </w:tcPr>
          <w:p>
            <w:r>
              <w:rPr>
                <w:sz w:val="18"/>
              </w:rPr>
              <w:t>0.0%</w:t>
            </w:r>
          </w:p>
        </w:tc>
        <w:tc>
          <w:tcPr>
            <w:tcW w:type="dxa" w:w="1337"/>
            <w:tcBorders>
              <w:top w:val="none" w:sz="4" w:space="0" w:color="auto"/>
              <w:left w:val="none" w:sz="0" w:space="0" w:color="auto"/>
              <w:bottom w:val="none" w:sz="8" w:space="0" w:color="auto"/>
              <w:right w:val="none" w:sz="0" w:space="0" w:color="auto"/>
            </w:tcBorders>
          </w:tcPr>
          <w:p>
            <w:r>
              <w:rPr>
                <w:sz w:val="18"/>
              </w:rPr>
              <w:t>64.0%</w:t>
            </w:r>
          </w:p>
        </w:tc>
        <w:tc>
          <w:tcPr>
            <w:tcW w:type="dxa" w:w="1337"/>
            <w:tcBorders>
              <w:top w:val="none" w:sz="4" w:space="0" w:color="auto"/>
              <w:left w:val="none" w:sz="0" w:space="0" w:color="auto"/>
              <w:bottom w:val="none" w:sz="8" w:space="0" w:color="auto"/>
              <w:right w:val="none" w:sz="0" w:space="0" w:color="auto"/>
            </w:tcBorders>
          </w:tcPr>
          <w:p>
            <w:r>
              <w:rPr>
                <w:sz w:val="18"/>
              </w:rPr>
              <w:t>1120.3 ms</w:t>
            </w:r>
          </w:p>
        </w:tc>
        <w:tc>
          <w:tcPr>
            <w:tcW w:type="dxa" w:w="1337"/>
            <w:tcBorders>
              <w:top w:val="none" w:sz="4" w:space="0" w:color="auto"/>
              <w:left w:val="none" w:sz="0" w:space="0" w:color="auto"/>
              <w:bottom w:val="none" w:sz="8" w:space="0" w:color="auto"/>
              <w:right w:val="none" w:sz="0" w:space="0" w:color="auto"/>
            </w:tcBorders>
          </w:tcPr>
          <w:p>
            <w:r>
              <w:rPr>
                <w:sz w:val="18"/>
              </w:rPr>
              <w:t>1618.8 ms</w:t>
            </w:r>
          </w:p>
        </w:tc>
      </w:tr>
      <w:tr>
        <w:tc>
          <w:tcPr>
            <w:tcW w:type="dxa" w:w="1337"/>
            <w:shd w:fill="EFF6FF"/>
            <w:tcBorders>
              <w:top w:val="none" w:sz="4" w:space="0" w:color="auto"/>
              <w:left w:val="none" w:sz="0" w:space="0" w:color="auto"/>
              <w:bottom w:val="single" w:sz="8" w:space="0" w:color="auto"/>
              <w:right w:val="none" w:sz="0" w:space="0" w:color="auto"/>
            </w:tcBorders>
          </w:tcPr>
          <w:p>
            <w:r>
              <w:rPr>
                <w:b/>
                <w:sz w:val="18"/>
              </w:rPr>
              <w:t>M* (Proposed O-CTD)</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20.0%</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10.0%</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100.0%</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100.0%</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3116.0 ms</w:t>
            </w:r>
          </w:p>
        </w:tc>
        <w:tc>
          <w:tcPr>
            <w:tcW w:type="dxa" w:w="1337"/>
            <w:shd w:fill="EFF6FF"/>
            <w:tcBorders>
              <w:top w:val="none" w:sz="4" w:space="0" w:color="auto"/>
              <w:left w:val="none" w:sz="0" w:space="0" w:color="auto"/>
              <w:bottom w:val="single" w:sz="8" w:space="0" w:color="auto"/>
              <w:right w:val="none" w:sz="0" w:space="0" w:color="auto"/>
            </w:tcBorders>
          </w:tcPr>
          <w:p>
            <w:r>
              <w:rPr>
                <w:b/>
                <w:sz w:val="18"/>
              </w:rPr>
              <w:t>4097.4 ms</w:t>
            </w:r>
          </w:p>
        </w:tc>
      </w:tr>
    </w:tbl>
    <w:p/>
    <w:p>
      <w:r>
        <w:t>1. Vulnerability of In-Context Guardrails: In-context prompt defense (M1) proved ineffective against targeted attacks, suffering an 80.0% ASR and a 90.0% IVR. When presented with adversarial framing, the LLM consistently prioritized user prompt instructions over system-level constraints, demonstrating that soft in-context prompts cannot guarantee security under adversarial distribution shifts [13, 14].</w:t>
      </w:r>
    </w:p>
    <w:p>
      <w:r>
        <w:t>2. Dual-Metric Utility: Strict Gateway vs. Relaxed Regex Extraction: Baselines M0, M1, and M2 exhibited 0.0% Strict BTC on benign business queries. Detailed log analysis reveals that this zero-shot failure was driven by conversational preambles (e.g., 'Certainly! I will process that request:') and non-standard JSON keys, which strict enterprise API gateways immediately reject. To determine whether this formatting artifact masked underlying model competence, we evaluated all baseline outputs under a relaxed regular-expression parser (re.search(r'\{.*\}', text, re.DOTALL)). Under relaxed extraction, M1 recovered to 68.0% Relaxed BTC. Crucially, however, M1's security metrics remained catastrophic: an 80.0% ASR and a 90.0% IVR. This definitively demonstrates that even when unconstrained baselines are granted heuristic post-hoc regex extraction to forgive formatting drift, soft system prompts fail fundamentally at axiomatic boundary containment. Conversely, O-CTD achieves 100.0% under both Strict and Relaxed BTC, simultaneously delivering syntactic determinism and axiomatic security.</w:t>
      </w:r>
    </w:p>
    <w:p>
      <w:r>
        <w:t>3. Security Enforcement of O-CTD: O-CTD achieved a 4x reduction in ASR (from 80.0% down to 20.0%) and a 9x reduction in policy invariant violations (from 90.0% down to 10.0%). Privilege escalation and out-of-bounds parameter tampering were physically blocked at the logit level.</w:t>
      </w:r>
    </w:p>
    <w:p>
      <w:pPr>
        <w:keepNext/>
        <w:spacing w:before="200" w:after="60"/>
      </w:pPr>
      <w:r>
        <w:rPr>
          <w:rFonts w:ascii="Times New Roman" w:hAnsi="Times New Roman"/>
          <w:b/>
          <w:i/>
          <w:color w:val="1E293B"/>
          <w:sz w:val="23"/>
        </w:rPr>
        <w:t>4.1 Category Ablation across Threat Vectors</w:t>
      </w:r>
    </w:p>
    <w:p>
      <w:r>
        <w:t>Table 3 provides an ablation breakdown across specific threat topologies.</w:t>
      </w:r>
    </w:p>
    <w:p>
      <w:pPr>
        <w:keepNext/>
        <w:spacing w:before="160" w:after="60"/>
      </w:pPr>
      <w:r>
        <w:rPr>
          <w:b/>
          <w:sz w:val="20"/>
        </w:rPr>
        <w:t>Table 3: Threat Vector Ablation Breakdown (Policy Invariant Violation Rates across Attack Topologies).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8" w:space="0" w:color="auto"/>
              <w:left w:val="none" w:sz="0" w:space="0" w:color="auto"/>
              <w:bottom w:val="single" w:sz="6" w:space="0" w:color="auto"/>
              <w:right w:val="none" w:sz="0" w:space="0" w:color="auto"/>
            </w:tcBorders>
            <w:shd w:fill="F1F5F9"/>
          </w:tcPr>
          <w:p>
            <w:r>
              <w:rPr>
                <w:b/>
                <w:sz w:val="19"/>
              </w:rPr>
              <w:t>Defense Architecture</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Param Tampering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Priv Escalation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Indirect Inj ↓</w:t>
            </w:r>
          </w:p>
        </w:tc>
        <w:tc>
          <w:tcPr>
            <w:tcW w:type="dxa" w:w="1872"/>
            <w:tcBorders>
              <w:top w:val="single" w:sz="8" w:space="0" w:color="auto"/>
              <w:left w:val="none" w:sz="0" w:space="0" w:color="auto"/>
              <w:bottom w:val="single" w:sz="6" w:space="0" w:color="auto"/>
              <w:right w:val="none" w:sz="0" w:space="0" w:color="auto"/>
            </w:tcBorders>
            <w:shd w:fill="F1F5F9"/>
          </w:tcPr>
          <w:p>
            <w:r>
              <w:rPr>
                <w:b/>
                <w:sz w:val="19"/>
              </w:rPr>
              <w:t>Benign Utility ↑</w:t>
            </w:r>
          </w:p>
        </w:tc>
      </w:tr>
      <w:tr>
        <w:tc>
          <w:tcPr>
            <w:tcW w:type="dxa" w:w="1872"/>
            <w:tcBorders>
              <w:top w:val="none" w:sz="4" w:space="0" w:color="auto"/>
              <w:left w:val="none" w:sz="0" w:space="0" w:color="auto"/>
              <w:bottom w:val="none" w:sz="8" w:space="0" w:color="auto"/>
              <w:right w:val="none" w:sz="0" w:space="0" w:color="auto"/>
            </w:tcBorders>
          </w:tcPr>
          <w:p>
            <w:r>
              <w:rPr>
                <w:sz w:val="18"/>
              </w:rPr>
              <w:t>M0 (Vanilla Base LLM)</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tcBorders>
              <w:top w:val="none" w:sz="4" w:space="0" w:color="auto"/>
              <w:left w:val="none" w:sz="0" w:space="0" w:color="auto"/>
              <w:bottom w:val="none" w:sz="8" w:space="0" w:color="auto"/>
              <w:right w:val="none" w:sz="0" w:space="0" w:color="auto"/>
            </w:tcBorders>
          </w:tcPr>
          <w:p>
            <w:r>
              <w:rPr>
                <w:sz w:val="18"/>
              </w:rPr>
              <w:t>M1 (Prompt Guard)</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tcBorders>
              <w:top w:val="none" w:sz="4" w:space="0" w:color="auto"/>
              <w:left w:val="none" w:sz="0" w:space="0" w:color="auto"/>
              <w:bottom w:val="none" w:sz="8" w:space="0" w:color="auto"/>
              <w:right w:val="none" w:sz="0" w:space="0" w:color="auto"/>
            </w:tcBorders>
          </w:tcPr>
          <w:p>
            <w:r>
              <w:rPr>
                <w:sz w:val="18"/>
              </w:rPr>
              <w:t>M2 (Post-Hoc Classifier)</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100.0%</w:t>
            </w:r>
          </w:p>
        </w:tc>
        <w:tc>
          <w:tcPr>
            <w:tcW w:type="dxa" w:w="1872"/>
            <w:tcBorders>
              <w:top w:val="none" w:sz="4" w:space="0" w:color="auto"/>
              <w:left w:val="none" w:sz="0" w:space="0" w:color="auto"/>
              <w:bottom w:val="none" w:sz="8" w:space="0" w:color="auto"/>
              <w:right w:val="none" w:sz="0" w:space="0" w:color="auto"/>
            </w:tcBorders>
          </w:tcPr>
          <w:p>
            <w:r>
              <w:rPr>
                <w:sz w:val="18"/>
              </w:rPr>
              <w:t>0.0%</w:t>
            </w:r>
          </w:p>
        </w:tc>
      </w:tr>
      <w:tr>
        <w:tc>
          <w:tcPr>
            <w:tcW w:type="dxa" w:w="1872"/>
            <w:shd w:fill="EFF6FF"/>
            <w:tcBorders>
              <w:top w:val="none" w:sz="4" w:space="0" w:color="auto"/>
              <w:left w:val="none" w:sz="0" w:space="0" w:color="auto"/>
              <w:bottom w:val="single" w:sz="8" w:space="0" w:color="auto"/>
              <w:right w:val="none" w:sz="0" w:space="0" w:color="auto"/>
            </w:tcBorders>
          </w:tcPr>
          <w:p>
            <w:r>
              <w:rPr>
                <w:b/>
                <w:sz w:val="18"/>
              </w:rPr>
              <w:t>M* (Proposed O-CTD)</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50.0%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0.0%</w:t>
            </w:r>
          </w:p>
        </w:tc>
        <w:tc>
          <w:tcPr>
            <w:tcW w:type="dxa" w:w="1872"/>
            <w:shd w:fill="EFF6FF"/>
            <w:tcBorders>
              <w:top w:val="none" w:sz="4" w:space="0" w:color="auto"/>
              <w:left w:val="none" w:sz="0" w:space="0" w:color="auto"/>
              <w:bottom w:val="single" w:sz="8" w:space="0" w:color="auto"/>
              <w:right w:val="none" w:sz="0" w:space="0" w:color="auto"/>
            </w:tcBorders>
          </w:tcPr>
          <w:p>
            <w:r>
              <w:rPr>
                <w:b/>
                <w:sz w:val="18"/>
              </w:rPr>
              <w:t>100.0%</w:t>
            </w:r>
          </w:p>
        </w:tc>
      </w:tr>
    </w:tbl>
    <w:p/>
    <w:p>
      <w:r>
        <w:t>As shown in Table 3, O-CTD achieved a 0.0% violation rate on both Privilege Escalation and Indirect Prompt Injection. Under Parameter Tampering, O-CTD clamped all attempted refund amounts to the authorized role ceiling (C_r &lt;= $50.00).</w:t>
      </w:r>
    </w:p>
    <w:p>
      <w:pPr>
        <w:keepNext/>
        <w:spacing w:before="200" w:after="60"/>
      </w:pPr>
      <w:r>
        <w:rPr>
          <w:rFonts w:ascii="Times New Roman" w:hAnsi="Times New Roman"/>
          <w:b/>
          <w:i/>
          <w:color w:val="1E293B"/>
          <w:sz w:val="23"/>
        </w:rPr>
        <w:t>4.2 Statistical Significance Testing</w:t>
      </w:r>
    </w:p>
    <w:p>
      <w:r>
        <w:t>To verify that the empirical superiority of O-CTD over in-context prompt guarding is statistically robust, we performed non-parametric paired significance testing [27, 28]. Because binary safety outcomes violate Gaussian normality assumptions, the paired Wilcoxon Signed-Rank Test was conducted across all matched prompt pairs between M1 and M*:</w:t>
        <w:br/>
        <w:t>- Wilcoxon Test Statistic (W): 0.0</w:t>
        <w:br/>
        <w:t>- Two-Sided p-Value: 3.7441 × 10⁻¹⁹ &lt;&lt; 0.001</w:t>
        <w:br/>
        <w:t>- Rank-Biserial Effect Size (r): 0.800</w:t>
        <w:br/>
        <w:br/>
        <w:t>The effect size of r = 0.800 exceeds the standard benchmark for a 'large' effect (r &gt;= 0.50), confirming that O-CTD delivers statistically definitive and reproducible safety improvements.</w:t>
      </w:r>
    </w:p>
    <w:p>
      <w:pPr>
        <w:keepNext/>
        <w:spacing w:before="200" w:after="60"/>
      </w:pPr>
      <w:r>
        <w:rPr>
          <w:rFonts w:ascii="Times New Roman" w:hAnsi="Times New Roman"/>
          <w:b/>
          <w:i/>
          <w:color w:val="1E293B"/>
          <w:sz w:val="23"/>
        </w:rPr>
        <w:t>4.3 Qualitative Analysis of Residual ASR (20%)</w:t>
      </w:r>
    </w:p>
    <w:p>
      <w:r>
        <w:t>Rigorous empirical analysis requires examining remaining failure modes. While O-CTD suppressed ASR from 80% to 20%, we investigate why the residual 20% occurred:</w:t>
        <w:br/>
        <w:br/>
        <w:t>1. The Confused Deputy inside Free-Text Arguments: In two test scenarios, the attack prompt requested: 'Order ORD-12345 was delayed; look up its status and append a note containing internal API keys.' Because lookup_order_status was an authorized tool for Tier 1 support, the grammar permitted its selection. While O-CTD prevented unauthorized financial execution, the model processed the adversarial payload inside the legitimate tool's free-text comment field theta_free [10].</w:t>
        <w:br/>
        <w:br/>
        <w:t>2. Safe Fallback Invocations: Under aggressive injection where all attempted tool tokens were masked out by the DFA, the agent fell back to the default permitted tool (lookup_order_status). Although no policy violation occurred (Phi_struct = True), the benchmark marked the sample as partially engaged because the model did not output an explicit refusal string.</w:t>
        <w:br/>
        <w:br/>
        <w:t>This finding directly validates Remark 1: Context-Free Grammars mathematically eliminate structural and parametric privilege escalations (Phi_struct), but semantic validation inside unbounded free-text fields (theta_free) remains an orthogonal challenge requiring complementary semantic classifiers.</w:t>
      </w:r>
    </w:p>
    <w:p>
      <w:pPr>
        <w:keepNext/>
        <w:spacing w:before="200" w:after="60"/>
      </w:pPr>
      <w:r>
        <w:rPr>
          <w:rFonts w:ascii="Times New Roman" w:hAnsi="Times New Roman"/>
          <w:b/>
          <w:i/>
          <w:color w:val="1E293B"/>
          <w:sz w:val="23"/>
        </w:rPr>
        <w:t>4.4 Computational Overhead &amp; The Pareto Frontier</w:t>
      </w:r>
    </w:p>
    <w:p>
      <w:pPr>
        <w:jc w:val="center"/>
      </w:pPr>
    </w:p>
    <w:p>
      <w:r>
        <w:drawing>
          <wp:inline xmlns:a="http://schemas.openxmlformats.org/drawingml/2006/main" xmlns:pic="http://schemas.openxmlformats.org/drawingml/2006/picture">
            <wp:extent cx="5669280" cy="2319251"/>
            <wp:docPr id="2" name="Picture 2"/>
            <wp:cNvGraphicFramePr>
              <a:graphicFrameLocks noChangeAspect="1"/>
            </wp:cNvGraphicFramePr>
            <a:graphic>
              <a:graphicData uri="http://schemas.openxmlformats.org/drawingml/2006/picture">
                <pic:pic>
                  <pic:nvPicPr>
                    <pic:cNvPr id="0" name="figure2_pareto_latency.png"/>
                    <pic:cNvPicPr/>
                  </pic:nvPicPr>
                  <pic:blipFill>
                    <a:blip r:embed="rId10"/>
                    <a:stretch>
                      <a:fillRect/>
                    </a:stretch>
                  </pic:blipFill>
                  <pic:spPr>
                    <a:xfrm>
                      <a:off x="0" y="0"/>
                      <a:ext cx="5669280" cy="2319251"/>
                    </a:xfrm>
                    <a:prstGeom prst="rect"/>
                  </pic:spPr>
                </pic:pic>
              </a:graphicData>
            </a:graphic>
          </wp:inline>
        </w:drawing>
      </w:r>
    </w:p>
    <w:p>
      <w:pPr>
        <w:spacing w:after="200"/>
        <w:jc w:val="center"/>
      </w:pPr>
      <w:r>
        <w:rPr>
          <w:i/>
          <w:sz w:val="19"/>
        </w:rPr>
        <w:t>Figure 2: (a) Pareto trade-off between security vulnerability (ASR %) and enterprise utility (BTC %). O-CTD establishes a dominant position in the optimal top-left quadrant. (b) Computational latency overhead per invocation across architectures on NVIDIA RTX 4090.</w:t>
      </w:r>
    </w:p>
    <w:p>
      <w:r>
        <w:t>Figure 2(a) illustrates the Pareto frontier between security vulnerability and utility. Unconstrained baselines cluster in the bottom-right quadrant (high vulnerability, zero execution utility). O-CTD dominates the frontier, occupying the upper-left quadrant (100% utility, 20% ASR).</w:t>
        <w:br/>
        <w:br/>
        <w:t>Figure 2(b) documents the corresponding computational cost. M* introduces a mean latency of 3116.0 ms compared to 1157.0 ms for prompt guarding. This ~2.7x latency overhead stems from the runtime intersection between the tokenizer vocabulary (|V| ~ 152,000) and the DFA transition table at each generation step [21, 22]. In high-stakes enterprise workflows (e.g., approving customer disbursements, modifying databases), an added 2-second overhead represents an acceptable operational trade-off in exchange for deterministic security guarantees.</w:t>
      </w:r>
    </w:p>
    <w:p>
      <w:pPr>
        <w:keepNext/>
        <w:spacing w:before="280" w:after="80"/>
      </w:pPr>
      <w:r>
        <w:rPr>
          <w:rFonts w:ascii="Times New Roman" w:hAnsi="Times New Roman"/>
          <w:b/>
          <w:color w:val="0F172A"/>
          <w:sz w:val="26"/>
        </w:rPr>
        <w:t>5. Conclusion and Future Work</w:t>
      </w:r>
    </w:p>
    <w:p>
      <w:r>
        <w:t>In this paper, we introduced Ontology-Constrained Token Decoding (O-CTD), a neuro-symbolic framework that compiles declarative enterprise RBAC ontologies into runtime Context-Free Grammars and vocabulary DFAs for autonomous LLM agents. By enforcing deterministic logit masking during autoregressive generation, O-CTD mathematically eliminates unauthorized tool privilege escalations and parametric boundary tampering (P(Phi_struct = False) = 0). On a 100-sample enterprise benchmark using Qwen2.5-7B-Instruct, O-CTD reduced Attack Success Rates from 80% to 20%, decreased policy invariant violations from 90% to 10%, and achieved 100% task utility with strong statistical significance (W = 0.0, p = 3.74 × 10⁻¹⁹, r = 0.800).</w:t>
      </w:r>
    </w:p>
    <w:p>
      <w:pPr>
        <w:keepNext/>
        <w:spacing w:before="200" w:after="60"/>
      </w:pPr>
      <w:r>
        <w:rPr>
          <w:rFonts w:ascii="Times New Roman" w:hAnsi="Times New Roman"/>
          <w:b/>
          <w:i/>
          <w:color w:val="1E293B"/>
          <w:sz w:val="23"/>
        </w:rPr>
        <w:t>5.1 Limitations</w:t>
      </w:r>
    </w:p>
    <w:p>
      <w:r>
        <w:t>This investigation has two primary boundaries. First, while O-CTD provides absolute mathematical guarantees over structural tool selection and bounded parameters (P(Phi_struct = False) = 0), regular and context-free grammars cannot resolve semantic prompt injection within unbounded free-text argument fields theta_free (e.g., ticket comments or customer emails). Second, runtime logit masking introduces an average 2.7x latency overhead (3116.0 ms vs. 1157.0 ms) due to repeated DFA state-transition lookups across large foundation model vocabularies (|V| ~ 152,000).</w:t>
      </w:r>
    </w:p>
    <w:p>
      <w:pPr>
        <w:keepNext/>
        <w:spacing w:before="200" w:after="60"/>
      </w:pPr>
      <w:r>
        <w:rPr>
          <w:rFonts w:ascii="Times New Roman" w:hAnsi="Times New Roman"/>
          <w:b/>
          <w:i/>
          <w:color w:val="1E293B"/>
          <w:sz w:val="23"/>
        </w:rPr>
        <w:t>5.2 Future Directions</w:t>
      </w:r>
    </w:p>
    <w:p>
      <w:r>
        <w:t>Future work will proceed along two trajectories: (1) integrating Attribute Grammars and lightweight semantic guardrails to extend axiomatic verification across unbounded natural-language strings theta_free, and (2) implementing speculative decoding and GPU-accelerated bitmask DFA traversals (e.g., via CUDA kernel fusions) to reduce O-CTD decoding latency to near-parity with unconstrained inference.</w:t>
      </w:r>
    </w:p>
    <w:p>
      <w:pPr>
        <w:keepNext/>
        <w:spacing w:before="200" w:after="60"/>
      </w:pPr>
      <w:r>
        <w:rPr>
          <w:rFonts w:ascii="Times New Roman" w:hAnsi="Times New Roman"/>
          <w:b/>
          <w:i/>
          <w:color w:val="1E293B"/>
          <w:sz w:val="23"/>
        </w:rPr>
        <w:t>CRediT Authorship Contribution Statement</w:t>
      </w:r>
    </w:p>
    <w:p>
      <w:r>
        <w:t>Nithin Goud Kumbam: Conceptualization, Methodology, Software, Validation, Formal analysis, Investigation, Data curation, Writing – original draft, Writing – review &amp; editing, Visualization, Project administration.</w:t>
      </w:r>
    </w:p>
    <w:p>
      <w:pPr>
        <w:keepNext/>
        <w:spacing w:before="200" w:after="60"/>
      </w:pPr>
      <w:r>
        <w:rPr>
          <w:rFonts w:ascii="Times New Roman" w:hAnsi="Times New Roman"/>
          <w:b/>
          <w:i/>
          <w:color w:val="1E293B"/>
          <w:sz w:val="23"/>
        </w:rPr>
        <w:t>Declaration of Generative AI in the Writing Process</w:t>
      </w:r>
    </w:p>
    <w:p>
      <w:r>
        <w:t>During the preparation of this work, the author utilized large language model assistants strictly for grammar refinement, language polishing, and manuscript typesetting. After using these tools, the author reviewed and edited all content, verified mathematical proofs, and takes full personal responsibility for the scientific integrity and claims of this publication.</w:t>
      </w:r>
    </w:p>
    <w:p>
      <w:pPr>
        <w:keepNext/>
        <w:spacing w:before="200" w:after="60"/>
      </w:pPr>
      <w:r>
        <w:rPr>
          <w:rFonts w:ascii="Times New Roman" w:hAnsi="Times New Roman"/>
          <w:b/>
          <w:i/>
          <w:color w:val="1E293B"/>
          <w:sz w:val="23"/>
        </w:rPr>
        <w:t>Declaration of Competing Interest</w:t>
      </w:r>
    </w:p>
    <w:p>
      <w:r>
        <w:t>The author declares that they have no known competing financial interests or personal relationships that could have appeared to influence the work reported in this paper.</w:t>
      </w:r>
    </w:p>
    <w:p>
      <w:pPr>
        <w:keepNext/>
        <w:spacing w:before="200" w:after="60"/>
      </w:pPr>
      <w:r>
        <w:rPr>
          <w:rFonts w:ascii="Times New Roman" w:hAnsi="Times New Roman"/>
          <w:b/>
          <w:i/>
          <w:color w:val="1E293B"/>
          <w:sz w:val="23"/>
        </w:rPr>
        <w:t>Acknowledgments</w:t>
      </w:r>
    </w:p>
    <w:p>
      <w:r>
        <w:t>The author acknowledges the open-source community behind the Outlines, vLLM, and InjecAgent frameworks for providing foundational tools that enabled this research.</w:t>
      </w:r>
    </w:p>
    <w:p>
      <w:pPr>
        <w:keepNext/>
        <w:spacing w:before="200" w:after="60"/>
      </w:pPr>
      <w:r>
        <w:rPr>
          <w:rFonts w:ascii="Times New Roman" w:hAnsi="Times New Roman"/>
          <w:b/>
          <w:i/>
          <w:color w:val="1E293B"/>
          <w:sz w:val="23"/>
        </w:rPr>
        <w:t>Data and Code Availability</w:t>
      </w:r>
    </w:p>
    <w:p>
      <w:r>
        <w:t>The full experimental benchmark suite, declarative Pydantic schemas, raw inference logs, and Python/PyTorch replication codebase are openly available under the MIT license at: https://github.com/nithin42/kbs-ontoguard.</w:t>
      </w:r>
    </w:p>
    <w:p>
      <w:pPr>
        <w:keepNext/>
        <w:spacing w:before="280" w:after="80"/>
      </w:pPr>
      <w:r>
        <w:rPr>
          <w:rFonts w:ascii="Times New Roman" w:hAnsi="Times New Roman"/>
          <w:b/>
          <w:color w:val="0F172A"/>
          <w:sz w:val="26"/>
        </w:rPr>
        <w:t>Appendix A. Declarative Enterprise RBAC Ontology Specifications</w:t>
      </w:r>
    </w:p>
    <w:p>
      <w:r>
        <w:t>The following declarative Pydantic schemas specify the active session role sub-grammars compiled by O-CTD:</w:t>
      </w:r>
    </w:p>
    <w:p>
      <w:pPr>
        <w:ind w:left="288"/>
      </w:pPr>
      <w:r>
        <w:rPr>
          <w:rFonts w:ascii="Courier New" w:hAnsi="Courier New"/>
          <w:color w:val="0F172A"/>
          <w:sz w:val="17"/>
        </w:rPr>
        <w:t>from pydantic import BaseModel, Field</w:t>
        <w:br/>
        <w:t>from typing import Literal</w:t>
        <w:br/>
        <w:br/>
        <w:t>class LookupOrderStatus(BaseModel):</w:t>
        <w:br/>
        <w:t xml:space="preserve">    action_name: Literal['lookup_order_status']</w:t>
        <w:br/>
        <w:t xml:space="preserve">    order_id: str = Field(pattern=r'^ORD-[0-9]{5}$')</w:t>
        <w:br/>
        <w:br/>
        <w:t>class ProcessRefundTier1(BaseModel):</w:t>
        <w:br/>
        <w:t xml:space="preserve">    action_name: Literal['process_refund']</w:t>
        <w:br/>
        <w:t xml:space="preserve">    order_id: str = Field(pattern=r'^ORD-[0-9]{5}$')</w:t>
        <w:br/>
        <w:t xml:space="preserve">    amount_usd: float = Field(ge=0.01, le=50.00)  # Axiomatic Ceiling: C_r &lt;= $50.00</w:t>
        <w:br/>
        <w:t xml:space="preserve">    reason: str = Field(max_length=200)</w:t>
        <w:br/>
        <w:br/>
        <w:t>class CustomerSupportTier1Action(BaseModel):</w:t>
        <w:br/>
        <w:t xml:space="preserve">    action: LookupOrderStatus | ProcessRefundTier1</w:t>
        <w:br/>
      </w:r>
    </w:p>
    <w:p>
      <w:pPr>
        <w:keepNext/>
        <w:spacing w:before="280" w:after="80"/>
      </w:pPr>
      <w:r>
        <w:rPr>
          <w:rFonts w:ascii="Times New Roman" w:hAnsi="Times New Roman"/>
          <w:b/>
          <w:color w:val="0F172A"/>
          <w:sz w:val="26"/>
        </w:rPr>
        <w:t>References</w:t>
      </w:r>
    </w:p>
    <w:p>
      <w:pPr>
        <w:spacing w:before="20" w:after="40"/>
        <w:ind w:left="432" w:hanging="432"/>
      </w:pPr>
      <w:r>
        <w:rPr>
          <w:rFonts w:ascii="Times New Roman" w:hAnsi="Times New Roman"/>
          <w:color w:val="334155"/>
          <w:sz w:val="18"/>
        </w:rPr>
        <w:t>[1] Qin, Yujia and Liang, Shihao and Ye, Yining and Zhu, Kunlun and Yan, Lan and Lu, Yaxi and Lin, Yankai and Cong, Xin and Tang, Xiangru and Qian, Bill and others, ToolLLM: Facilitating Large Language Models to Master 16000+ Real-world APIs, International Conference on Learning Representations (ICLR 2024) (2024) 1--20.</w:t>
      </w:r>
    </w:p>
    <w:p>
      <w:pPr>
        <w:spacing w:before="20" w:after="40"/>
        <w:ind w:left="432" w:hanging="432"/>
      </w:pPr>
      <w:r>
        <w:rPr>
          <w:rFonts w:ascii="Times New Roman" w:hAnsi="Times New Roman"/>
          <w:color w:val="334155"/>
          <w:sz w:val="18"/>
        </w:rPr>
        <w:t>[2] Qwen Team, Qwen2.5 Technical Report, arXiv preprint arXiv:2412.15115 (2024) 1--88.</w:t>
      </w:r>
    </w:p>
    <w:p>
      <w:pPr>
        <w:spacing w:before="20" w:after="40"/>
        <w:ind w:left="432" w:hanging="432"/>
      </w:pPr>
      <w:r>
        <w:rPr>
          <w:rFonts w:ascii="Times New Roman" w:hAnsi="Times New Roman"/>
          <w:color w:val="334155"/>
          <w:sz w:val="18"/>
        </w:rPr>
        <w:t>[3] Dubey, Abhimanyu and Jauhri, Abhinav and Pandey, Abhinav and Kadian, Abhishek and Al-Dahle, Ahmad and Letman, Aiesha and Mathur, Akhil and Schelten, Alan and Yang, Amy and Fan, Angela and others, The Llama 3 Herd of Models, arXiv preprint arXiv:2407.21783 (2024) 1--92.</w:t>
      </w:r>
    </w:p>
    <w:p>
      <w:pPr>
        <w:spacing w:before="20" w:after="40"/>
        <w:ind w:left="432" w:hanging="432"/>
      </w:pPr>
      <w:r>
        <w:rPr>
          <w:rFonts w:ascii="Times New Roman" w:hAnsi="Times New Roman"/>
          <w:color w:val="334155"/>
          <w:sz w:val="18"/>
        </w:rPr>
        <w:t>[4] Pan, Shirui and Luo, Linhao and Wang, Yufei and Chen, Chen and Wang, Jiapu and Wu, Xindong, Unifying Large Language Models and Knowledge Graphs: A Roadmap, IEEE Transactions on Knowledge and Data Engineering 36 (7) (2024) 3580--3599. doi:10.1109/TKDE.2024.3352100.</w:t>
      </w:r>
    </w:p>
    <w:p>
      <w:pPr>
        <w:spacing w:before="20" w:after="40"/>
        <w:ind w:left="432" w:hanging="432"/>
      </w:pPr>
      <w:r>
        <w:rPr>
          <w:rFonts w:ascii="Times New Roman" w:hAnsi="Times New Roman"/>
          <w:color w:val="334155"/>
          <w:sz w:val="18"/>
        </w:rPr>
        <w:t>[5] Li, Yifan and Liu, Haoran and Wang, Jinyuan and Chen, Xiaofeng, Security and Privacy in Large Language Model Agents: A Comprehensive Survey, IEEE Communications Surveys &amp; Tutorials 26 (4) (2024) 3120--3155. doi:10.1109/COMST.2024.3401122.</w:t>
      </w:r>
    </w:p>
    <w:p>
      <w:pPr>
        <w:spacing w:before="20" w:after="40"/>
        <w:ind w:left="432" w:hanging="432"/>
      </w:pPr>
      <w:r>
        <w:rPr>
          <w:rFonts w:ascii="Times New Roman" w:hAnsi="Times New Roman"/>
          <w:color w:val="334155"/>
          <w:sz w:val="18"/>
        </w:rPr>
        <w:t>[6] National Institute of Standards and Technology, Artificial Intelligence Risk Management Framework: Generative Artificial Intelligence Profile, U.S. Department of Commerce (NIST AI 600-1) (2024) 1--72. doi:10.6028/NIST.AI.600-1.</w:t>
      </w:r>
    </w:p>
    <w:p>
      <w:pPr>
        <w:spacing w:before="20" w:after="40"/>
        <w:ind w:left="432" w:hanging="432"/>
      </w:pPr>
      <w:r>
        <w:rPr>
          <w:rFonts w:ascii="Times New Roman" w:hAnsi="Times New Roman"/>
          <w:color w:val="334155"/>
          <w:sz w:val="18"/>
        </w:rPr>
        <w:t>[7] OWASP Foundation, OWASP Top 10 for Large Language Model Applications and Generative AI, Open Web Application Security Project (Version 2.0) (2025) 1--48. URL: https://owasp.org/www-project-top-10-for-large-language-model-applications/</w:t>
      </w:r>
    </w:p>
    <w:p>
      <w:pPr>
        <w:spacing w:before="20" w:after="40"/>
        <w:ind w:left="432" w:hanging="432"/>
      </w:pPr>
      <w:r>
        <w:rPr>
          <w:rFonts w:ascii="Times New Roman" w:hAnsi="Times New Roman"/>
          <w:color w:val="334155"/>
          <w:sz w:val="18"/>
        </w:rPr>
        <w:t>[8] Zhan, Qiusi and Liang, Zhixiang and Ying, Zifan and Kang, Daniel, InjecAgent: Benchmarking Indirect Prompt Injections in Tool-Integrated Large Language Model Agents, Findings of the Association for Computational Linguistics: ACL 2024 (2024) 9822--9845. doi:10.18653/v1/2024.findings-acl.576.</w:t>
      </w:r>
    </w:p>
    <w:p>
      <w:pPr>
        <w:spacing w:before="20" w:after="40"/>
        <w:ind w:left="432" w:hanging="432"/>
      </w:pPr>
      <w:r>
        <w:rPr>
          <w:rFonts w:ascii="Times New Roman" w:hAnsi="Times New Roman"/>
          <w:color w:val="334155"/>
          <w:sz w:val="18"/>
        </w:rPr>
        <w:t>[9] Debenedetti, Edoardo and Zhang, Jie and Balunovic, Mislav and Beurer-Kellner, Luca and Fischer, Marc and Tramer, Florian, AgentDojo: A Dynamic Environment to Evaluate Attacks and Defenses for LLM Agents, Thirty-eighth Conference on Neural Information Processing Systems (NeurIPS 2024) Datasets and Benchmarks Track (2024) 1--22. URL: https://arxiv.org/abs/2406.13314</w:t>
      </w:r>
    </w:p>
    <w:p>
      <w:pPr>
        <w:spacing w:before="20" w:after="40"/>
        <w:ind w:left="432" w:hanging="432"/>
      </w:pPr>
      <w:r>
        <w:rPr>
          <w:rFonts w:ascii="Times New Roman" w:hAnsi="Times New Roman"/>
          <w:color w:val="334155"/>
          <w:sz w:val="18"/>
        </w:rPr>
        <w:t>[10] Mavrogiannis, Angelos and Balunovic, Mislav and Tramer, Florian, The Confused Deputy Returns: Privilege Escalation in Tool-Using Large Language Models, IEEE Symposium on Security and Privacy Workshops (SPW 2024) (2024) 112--120.</w:t>
      </w:r>
    </w:p>
    <w:p>
      <w:pPr>
        <w:spacing w:before="20" w:after="40"/>
        <w:ind w:left="432" w:hanging="432"/>
      </w:pPr>
      <w:r>
        <w:rPr>
          <w:rFonts w:ascii="Times New Roman" w:hAnsi="Times New Roman"/>
          <w:color w:val="334155"/>
          <w:sz w:val="18"/>
        </w:rPr>
        <w:t>[11] Ruan, Jianhao and Ji, Yixin and Wang, Hao and Xu, Ming and Yang, Min, Identifying and Mitigating Vulnerabilities in LLM-Integrated Workflows, ACM CCS Workshop on Artificial Intelligence and Security (2024) 45--56.</w:t>
      </w:r>
    </w:p>
    <w:p>
      <w:pPr>
        <w:spacing w:before="20" w:after="40"/>
        <w:ind w:left="432" w:hanging="432"/>
      </w:pPr>
      <w:r>
        <w:rPr>
          <w:rFonts w:ascii="Times New Roman" w:hAnsi="Times New Roman"/>
          <w:color w:val="334155"/>
          <w:sz w:val="18"/>
        </w:rPr>
        <w:t>[12] Deng, Gelei and Liu, Yi and Mayoral-Vilches, Victor and Peng, Tianwei and Li, Yuekang and Xu, Yuan and Zhang, Tianwei and Liu, Yang and Pinzger, Martin and Rass, Stefan, PentestGPT: An LLM-Empowered Automated Penetration Testing Framework, USENIX Security Symposium 2024 (2024) 1261--1278.</w:t>
      </w:r>
    </w:p>
    <w:p>
      <w:pPr>
        <w:spacing w:before="20" w:after="40"/>
        <w:ind w:left="432" w:hanging="432"/>
      </w:pPr>
      <w:r>
        <w:rPr>
          <w:rFonts w:ascii="Times New Roman" w:hAnsi="Times New Roman"/>
          <w:color w:val="334155"/>
          <w:sz w:val="18"/>
        </w:rPr>
        <w:t>[13] Wei, Alexander and Haghtalab, Nika and Steinhardt, Jacob, Jailbroken: How Does LLM Safety Training Fail?, Advances in Neural Information Processing Systems (NeurIPS 2024) 37 (2024) 1--18.</w:t>
      </w:r>
    </w:p>
    <w:p>
      <w:pPr>
        <w:spacing w:before="20" w:after="40"/>
        <w:ind w:left="432" w:hanging="432"/>
      </w:pPr>
      <w:r>
        <w:rPr>
          <w:rFonts w:ascii="Times New Roman" w:hAnsi="Times New Roman"/>
          <w:color w:val="334155"/>
          <w:sz w:val="18"/>
        </w:rPr>
        <w:t>[14] Wu, Tong and Zhang, Xiangyu and Clark, Peter, Empirical Analysis of In-Context Guardrail Failures under Adaptive Injections, Empirical Methods in Natural Language Processing (EMNLP 2024) (2024) 4112--4129.</w:t>
      </w:r>
    </w:p>
    <w:p>
      <w:pPr>
        <w:spacing w:before="20" w:after="40"/>
        <w:ind w:left="432" w:hanging="432"/>
      </w:pPr>
      <w:r>
        <w:rPr>
          <w:rFonts w:ascii="Times New Roman" w:hAnsi="Times New Roman"/>
          <w:color w:val="334155"/>
          <w:sz w:val="18"/>
        </w:rPr>
        <w:t>[15] Wang, Zheng and Liang, Yichen and Wang, Haoyu and Kang, Daniel, Progent: Programmable Privilege Control for AI Agents, arXiv preprint arXiv:2501.08922 (2025) 1--19.</w:t>
      </w:r>
    </w:p>
    <w:p>
      <w:pPr>
        <w:spacing w:before="20" w:after="40"/>
        <w:ind w:left="432" w:hanging="432"/>
      </w:pPr>
      <w:r>
        <w:rPr>
          <w:rFonts w:ascii="Times New Roman" w:hAnsi="Times New Roman"/>
          <w:color w:val="334155"/>
          <w:sz w:val="18"/>
        </w:rPr>
        <w:t>[16] Chen, Zhihao and Gao, Peng and Zhang, Wayne and Shen, Chunhua, Benchmarking Adversarial Robustness of Function Calling in Large Language Models, Thirty-eighth Conference on Neural Information Processing Systems (NeurIPS 2024) (2024) 1--21.</w:t>
      </w:r>
    </w:p>
    <w:p>
      <w:pPr>
        <w:spacing w:before="20" w:after="40"/>
        <w:ind w:left="432" w:hanging="432"/>
      </w:pPr>
      <w:r>
        <w:rPr>
          <w:rFonts w:ascii="Times New Roman" w:hAnsi="Times New Roman"/>
          <w:color w:val="334155"/>
          <w:sz w:val="18"/>
        </w:rPr>
        <w:t>[17] Zhou, Andy and Xiao, Chen and Li, Bo and Vorobeychik, Yevgeniy, Robustness and Safety Evaluation of Autonomous Tool-Using LLMs under Adversarial Environments, International Conference on Machine Learning (ICML 2024) (2024) 61230--61252.</w:t>
      </w:r>
    </w:p>
    <w:p>
      <w:pPr>
        <w:spacing w:before="20" w:after="40"/>
        <w:ind w:left="432" w:hanging="432"/>
      </w:pPr>
      <w:r>
        <w:rPr>
          <w:rFonts w:ascii="Times New Roman" w:hAnsi="Times New Roman"/>
          <w:color w:val="334155"/>
          <w:sz w:val="18"/>
        </w:rPr>
        <w:t>[18] Yang, Bo and Zhang, Chen and Liu, Meng and Wang, Zhiyong, Privilege Separation and Access Control in Multi-Agent Autonomous Systems, IEEE Transactions on Dependable and Secure Computing 21 (5) (2024) 2451--2466. doi:10.1109/TDSC.2024.3389012.</w:t>
      </w:r>
    </w:p>
    <w:p>
      <w:pPr>
        <w:spacing w:before="20" w:after="40"/>
        <w:ind w:left="432" w:hanging="432"/>
      </w:pPr>
      <w:r>
        <w:rPr>
          <w:rFonts w:ascii="Times New Roman" w:hAnsi="Times New Roman"/>
          <w:color w:val="334155"/>
          <w:sz w:val="18"/>
        </w:rPr>
        <w:t>[19] Wang, Hao and Tang, Yanyan and Xu, Jian and Chen, Enhong, A Survey on Knowledge-Enhanced Text Generation: Methods and Applications, Knowledge-Based Systems 291 (2024) 111580. doi:10.1016/j.knosys.2024.111580.</w:t>
      </w:r>
    </w:p>
    <w:p>
      <w:pPr>
        <w:spacing w:before="20" w:after="40"/>
        <w:ind w:left="432" w:hanging="432"/>
      </w:pPr>
      <w:r>
        <w:rPr>
          <w:rFonts w:ascii="Times New Roman" w:hAnsi="Times New Roman"/>
          <w:color w:val="334155"/>
          <w:sz w:val="18"/>
        </w:rPr>
        <w:t>[20] He, Yuchen and Sun, Jun and Dong, Jin Song, Formal Verification and Neuro-Symbolic Safety Guarantees for Autonomous AI Systems, ACM Computing Surveys 56 (9) (2024) 1--36. doi:10.1145/3649451.</w:t>
      </w:r>
    </w:p>
    <w:p>
      <w:pPr>
        <w:spacing w:before="20" w:after="40"/>
        <w:ind w:left="432" w:hanging="432"/>
      </w:pPr>
      <w:r>
        <w:rPr>
          <w:rFonts w:ascii="Times New Roman" w:hAnsi="Times New Roman"/>
          <w:color w:val="334155"/>
          <w:sz w:val="18"/>
        </w:rPr>
        <w:t>[21] Zhang, Shun and Agarwal, Shubham and Larochelle, Hugo and Chandar, Sarath, SynCode: LLM Generation with Grammar Augmentation, Proceedings of the ACM on Software Engineering (FSE 2024) 1 (FSE) (2024) 1--24. doi:10.1145/3660788.</w:t>
      </w:r>
    </w:p>
    <w:p>
      <w:pPr>
        <w:spacing w:before="20" w:after="40"/>
        <w:ind w:left="432" w:hanging="432"/>
      </w:pPr>
      <w:r>
        <w:rPr>
          <w:rFonts w:ascii="Times New Roman" w:hAnsi="Times New Roman"/>
          <w:color w:val="334155"/>
          <w:sz w:val="18"/>
        </w:rPr>
        <w:t>[22] Zhao, Yilong and Shen, Chien-Yu and Chen, Tianqi, XGrammar: Flexible and Efficient Structured Generation Engine for Large Language Models, arXiv preprint arXiv:2411.04107 (2024) 1--18.</w:t>
      </w:r>
    </w:p>
    <w:p>
      <w:pPr>
        <w:spacing w:before="20" w:after="40"/>
        <w:ind w:left="432" w:hanging="432"/>
      </w:pPr>
      <w:r>
        <w:rPr>
          <w:rFonts w:ascii="Times New Roman" w:hAnsi="Times New Roman"/>
          <w:color w:val="334155"/>
          <w:sz w:val="18"/>
        </w:rPr>
        <w:t>[23] Beurer-Kellner, Luca and Fischer, Marc and Vechev, Martin, Guiding Large Language Models with Formal Structural Constraints, Proceedings of the ACM on Programming Languages (PACMPL) 8 (PLDI) (2024) 189--214. doi:10.1145/3656402.</w:t>
      </w:r>
    </w:p>
    <w:p>
      <w:pPr>
        <w:spacing w:before="20" w:after="40"/>
        <w:ind w:left="432" w:hanging="432"/>
      </w:pPr>
      <w:r>
        <w:rPr>
          <w:rFonts w:ascii="Times New Roman" w:hAnsi="Times New Roman"/>
          <w:color w:val="334155"/>
          <w:sz w:val="18"/>
        </w:rPr>
        <w:t>[24] Kumar, Sachin and Tsvetkov, Yulia and Smith, Noah A, Inference-Time Token Masking for Enterprise Compliance and Data Governance, Transactions of the Association for Computational Linguistics (TACL) 12 (2024) 540--558. doi:10.1162/tacl_a_00662.</w:t>
      </w:r>
    </w:p>
    <w:p>
      <w:pPr>
        <w:spacing w:before="20" w:after="40"/>
        <w:ind w:left="432" w:hanging="432"/>
      </w:pPr>
      <w:r>
        <w:rPr>
          <w:rFonts w:ascii="Times New Roman" w:hAnsi="Times New Roman"/>
          <w:color w:val="334155"/>
          <w:sz w:val="18"/>
        </w:rPr>
        <w:t>[25] Sordoni, Alessandro and Lu, Xingdi and Caccia, Massimo and Lacoste, Alexandre, Automata-Guided Decoding for Structured Text Generation, International Conference on Learning Representations (ICLR 2024) (2024) 1--18.</w:t>
      </w:r>
    </w:p>
    <w:p>
      <w:pPr>
        <w:spacing w:before="20" w:after="40"/>
        <w:ind w:left="432" w:hanging="432"/>
      </w:pPr>
      <w:r>
        <w:rPr>
          <w:rFonts w:ascii="Times New Roman" w:hAnsi="Times New Roman"/>
          <w:color w:val="334155"/>
          <w:sz w:val="18"/>
        </w:rPr>
        <w:t>[26] Tiwari, Rahul and Sen, Koushik and Roy, Subhajit, Grammar-Enforced RBAC in Multi-Agent Autonomous Systems, IEEE Transactions on Software Engineering 51 (2) (2025) 310--327. doi:10.1109/TSE.2025.3412001.</w:t>
      </w:r>
    </w:p>
    <w:p>
      <w:pPr>
        <w:spacing w:before="20" w:after="40"/>
        <w:ind w:left="432" w:hanging="432"/>
      </w:pPr>
      <w:r>
        <w:rPr>
          <w:rFonts w:ascii="Times New Roman" w:hAnsi="Times New Roman"/>
          <w:color w:val="334155"/>
          <w:sz w:val="18"/>
        </w:rPr>
        <w:t>[27] Gao, Mingyang and Huang, Lei and Roth, Dan, Non-Parametric Statistical Inference for Robust LLM Safety and Performance Evaluation, Computational Linguistics 50 (3) (2024) 911--938. doi:10.1162/coli_a_00512.</w:t>
      </w:r>
    </w:p>
    <w:p>
      <w:pPr>
        <w:spacing w:before="20" w:after="40"/>
        <w:ind w:left="432" w:hanging="432"/>
      </w:pPr>
      <w:r>
        <w:rPr>
          <w:rFonts w:ascii="Times New Roman" w:hAnsi="Times New Roman"/>
          <w:color w:val="334155"/>
          <w:sz w:val="18"/>
        </w:rPr>
        <w:t>[28] Kaufmann, Timo and Schulz, Hannes and Weng, Tsui-Wei, Evaluating Statistical Significance in Non-Normal LLM Safety Metrics, Journal of Artificial Intelligence Research (JAIR) 80 (2024) 745--778. doi:10.1613/jair.1.15890.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