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Regular Research Article</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Kumbam*</w:t>
      </w:r>
    </w:p>
    <w:p>
      <w:pPr>
        <w:spacing w:after="40"/>
      </w:pPr>
      <w:r>
        <w:rPr>
          <w:rFonts w:ascii="Times New Roman" w:hAnsi="Times New Roman"/>
          <w:i/>
          <w:color w:val="475569"/>
          <w:sz w:val="20"/>
        </w:rPr>
        <w:t>Enterprise AI Research Laboratory, New York, NY 10001, USA</w:t>
      </w:r>
    </w:p>
    <w:p>
      <w:pPr>
        <w:spacing w:after="240"/>
      </w:pPr>
      <w:r>
        <w:rPr>
          <w:rFonts w:ascii="Times New Roman" w:hAnsi="Times New Roman"/>
          <w:color w:val="64748B"/>
          <w:sz w:val="18"/>
        </w:rPr>
        <w:t>* Corresponding author. E-mail: nithin@research.org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(P(Phi_struct = False) = 0).</w:t>
      </w:r>
    </w:p>
    <w:p>
      <w:pPr>
        <w:pStyle w:val="ListBullet"/>
        <w:spacing w:before="20" w:after="40"/>
      </w:pPr>
      <w:r>
        <w:rPr>
          <w:sz w:val="20"/>
        </w:rPr>
        <w:t>Empirical evaluation on NVIDIA RTX 4090: ASR reduced from 80.0% to 20.0%, and Invariant Violation Rate from 90.0% to 10.0%.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rank-biserial effect size r = 0.800).</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r>
        <w:t>The main contributions of this paper are as follows:</w:t>
      </w:r>
    </w:p>
    <w:p>
      <w:pPr>
        <w:pStyle w:val="ListBullet"/>
        <w:spacing w:before="20" w:after="40"/>
      </w:pPr>
      <w:r>
        <w:rPr>
          <w:b/>
          <w:sz w:val="20"/>
        </w:rPr>
        <w:t xml:space="preserve">Formalization of Axiomatic Least-Privilege for LLM Agents: </w:t>
      </w:r>
      <w:r>
        <w:rPr>
          <w:sz w:val="20"/>
        </w:rPr>
        <w:t>We formalize enterprise security policies as declarative ontologies O = &lt;R, T, Sigma&gt; and formally decouple the authorization predicate into structural/bounded constraints Phi_struct and free-text semantic fields Phi_semantic, establishing clean theoretical verification boundaries.</w:t>
      </w:r>
    </w:p>
    <w:p>
      <w:pPr>
        <w:pStyle w:val="ListBullet"/>
        <w:spacing w:before="20" w:after="40"/>
      </w:pPr>
      <w:r>
        <w:rPr>
          <w:b/>
          <w:sz w:val="20"/>
        </w:rPr>
        <w:t xml:space="preserve">Ontology-Constrained Token Decoding (O-CTD): </w:t>
      </w:r>
      <w:r>
        <w:rPr>
          <w:sz w:val="20"/>
        </w:rPr>
        <w:t>We develop a neuro-symbolic compilation and decoding pipeline that maps session roles to localized Context-Free Grammars G_r and runtime vocabulary DFAs D_r, projecting unconstrained logits onto admissible tokens with zero runtime parsing overhead.</w:t>
      </w:r>
    </w:p>
    <w:p>
      <w:pPr>
        <w:pStyle w:val="ListBullet"/>
        <w:spacing w:before="20" w:after="40"/>
      </w:pPr>
      <w:r>
        <w:rPr>
          <w:b/>
          <w:sz w:val="20"/>
        </w:rPr>
        <w:t xml:space="preserve">BPE-Safe Numeric Sub-Grammar Formulation: </w:t>
      </w:r>
      <w:r>
        <w:rPr>
          <w:sz w:val="20"/>
        </w:rPr>
        <w:t>We formulate exact regular grammar production rules in Extended Backus-Naur Form (EBNF) that prevent multi-token decimal overflow on sub-word tokenizers, strictly enforcing monetary disbursement ceilings (C_r &lt;= $50.00).</w:t>
      </w:r>
    </w:p>
    <w:p>
      <w:pPr>
        <w:pStyle w:val="ListBullet"/>
        <w:spacing w:before="20" w:after="40"/>
      </w:pPr>
      <w:r>
        <w:rPr>
          <w:b/>
          <w:sz w:val="20"/>
        </w:rPr>
        <w:t xml:space="preserve">Dual-Metric Enterprise Benchmark &amp; Empirical Evaluation: </w:t>
      </w:r>
      <w:r>
        <w:rPr>
          <w:sz w:val="20"/>
        </w:rPr>
        <w:t>We synthesize a balanced 100-scenario enterprise benchmark across three operational roles and five threat classes, introducing a dual-metric evaluation (Strict vs. Relaxed Task Completion) and proving that O-CTD delivers a 4x reduction in Attack Success Rate (from 80.0% to 20.0%) with verified statistical significance (p = 3.74 × 10⁻¹⁹, r = 0.800).</w:t>
      </w:r>
    </w:p>
    <w:p>
      <w:r>
        <w:t>The rest of this paper is organised as follows: Section 2 details the formal mathematical formulation of O-CTD, its compilation into regular and context-free grammars, and theoretical soundness proofs; Section 3 describes the benchmark suite, hardware configuration, baseline architectures, and formal metric definitions; Section 4 presents the empirical comparative results, ablation study, statistical significance tests, and Pareto analysis; Section 5 discusses limitations, future directions, and concludes the paper.</w:t>
      </w:r>
    </w:p>
    <w:p>
      <w:pPr>
        <w:keepNext/>
        <w:spacing w:before="280" w:after="80"/>
      </w:pPr>
      <w:r>
        <w:rPr>
          <w:rFonts w:ascii="Times New Roman" w:hAnsi="Times New Roman"/>
          <w:b/>
          <w:color w:val="0F172A"/>
          <w:sz w:val="26"/>
        </w:rPr>
        <w:t>2. Mathematical Formulation of O-CTD</w:t>
      </w:r>
    </w:p>
    <w:p>
      <w:pPr>
        <w:keepNext/>
        <w:spacing w:before="160" w:after="60"/>
      </w:pPr>
      <w:r>
        <w:rPr>
          <w:b/>
          <w:sz w:val="20"/>
        </w:rPr>
        <w:t>Table 1: Conceptual differences between earlier defensive paradigms and the proposed O-CTD framework for autonomous LLM agents.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Architectural Dimension</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M0 (Vanilla Base LLM)</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M1 (In-Context Prompt Guard)</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M2 (Post-Hoc Output Classifier)</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 (Proposed O-CTD)</w:t>
            </w:r>
          </w:p>
        </w:tc>
      </w:tr>
      <w:tr>
        <w:tc>
          <w:tcPr>
            <w:tcW w:type="dxa" w:w="1872"/>
            <w:tcBorders>
              <w:top w:val="none" w:sz="4" w:space="0" w:color="auto"/>
              <w:left w:val="none" w:sz="0" w:space="0" w:color="auto"/>
              <w:bottom w:val="none" w:sz="8" w:space="0" w:color="auto"/>
              <w:right w:val="none" w:sz="0" w:space="0" w:color="auto"/>
            </w:tcBorders>
          </w:tcPr>
          <w:p>
            <w:r>
              <w:rPr>
                <w:sz w:val="17"/>
              </w:rPr>
              <w:t>Enforcement Layer</w:t>
            </w:r>
          </w:p>
        </w:tc>
        <w:tc>
          <w:tcPr>
            <w:tcW w:type="dxa" w:w="1872"/>
            <w:tcBorders>
              <w:top w:val="none" w:sz="4" w:space="0" w:color="auto"/>
              <w:left w:val="none" w:sz="0" w:space="0" w:color="auto"/>
              <w:bottom w:val="none" w:sz="8" w:space="0" w:color="auto"/>
              <w:right w:val="none" w:sz="0" w:space="0" w:color="auto"/>
            </w:tcBorders>
          </w:tcPr>
          <w:p>
            <w:r>
              <w:rPr>
                <w:sz w:val="17"/>
              </w:rPr>
              <w:t>Unconstrained Generation</w:t>
            </w:r>
          </w:p>
        </w:tc>
        <w:tc>
          <w:tcPr>
            <w:tcW w:type="dxa" w:w="1872"/>
            <w:tcBorders>
              <w:top w:val="none" w:sz="4" w:space="0" w:color="auto"/>
              <w:left w:val="none" w:sz="0" w:space="0" w:color="auto"/>
              <w:bottom w:val="none" w:sz="8" w:space="0" w:color="auto"/>
              <w:right w:val="none" w:sz="0" w:space="0" w:color="auto"/>
            </w:tcBorders>
          </w:tcPr>
          <w:p>
            <w:r>
              <w:rPr>
                <w:sz w:val="17"/>
              </w:rPr>
              <w:t>In-Context System Prompt</w:t>
            </w:r>
          </w:p>
        </w:tc>
        <w:tc>
          <w:tcPr>
            <w:tcW w:type="dxa" w:w="1872"/>
            <w:tcBorders>
              <w:top w:val="none" w:sz="4" w:space="0" w:color="auto"/>
              <w:left w:val="none" w:sz="0" w:space="0" w:color="auto"/>
              <w:bottom w:val="none" w:sz="8" w:space="0" w:color="auto"/>
              <w:right w:val="none" w:sz="0" w:space="0" w:color="auto"/>
            </w:tcBorders>
          </w:tcPr>
          <w:p>
            <w:r>
              <w:rPr>
                <w:sz w:val="17"/>
              </w:rPr>
              <w:t>External API Interceptor</w:t>
            </w:r>
          </w:p>
        </w:tc>
        <w:tc>
          <w:tcPr>
            <w:tcW w:type="dxa" w:w="1872"/>
            <w:shd w:fill="EFF6FF"/>
            <w:tcBorders>
              <w:top w:val="none" w:sz="4" w:space="0" w:color="auto"/>
              <w:left w:val="none" w:sz="0" w:space="0" w:color="auto"/>
              <w:bottom w:val="none" w:sz="8" w:space="0" w:color="auto"/>
              <w:right w:val="none" w:sz="0" w:space="0" w:color="auto"/>
            </w:tcBorders>
          </w:tcPr>
          <w:p>
            <w:r>
              <w:rPr>
                <w:b/>
                <w:sz w:val="17"/>
              </w:rPr>
              <w:t>Autoregressive Logit Projection</w:t>
            </w:r>
          </w:p>
        </w:tc>
      </w:tr>
      <w:tr>
        <w:tc>
          <w:tcPr>
            <w:tcW w:type="dxa" w:w="1872"/>
            <w:tcBorders>
              <w:top w:val="none" w:sz="4" w:space="0" w:color="auto"/>
              <w:left w:val="none" w:sz="0" w:space="0" w:color="auto"/>
              <w:bottom w:val="none" w:sz="8" w:space="0" w:color="auto"/>
              <w:right w:val="none" w:sz="0" w:space="0" w:color="auto"/>
            </w:tcBorders>
          </w:tcPr>
          <w:p>
            <w:r>
              <w:rPr>
                <w:sz w:val="17"/>
              </w:rPr>
              <w:t>Mathematical Guarantee</w:t>
            </w:r>
          </w:p>
        </w:tc>
        <w:tc>
          <w:tcPr>
            <w:tcW w:type="dxa" w:w="1872"/>
            <w:tcBorders>
              <w:top w:val="none" w:sz="4" w:space="0" w:color="auto"/>
              <w:left w:val="none" w:sz="0" w:space="0" w:color="auto"/>
              <w:bottom w:val="none" w:sz="8" w:space="0" w:color="auto"/>
              <w:right w:val="none" w:sz="0" w:space="0" w:color="auto"/>
            </w:tcBorders>
          </w:tcPr>
          <w:p>
            <w:r>
              <w:rPr>
                <w:sz w:val="17"/>
              </w:rPr>
              <w:t>None (P(viol) &gt; 0)</w:t>
            </w:r>
          </w:p>
        </w:tc>
        <w:tc>
          <w:tcPr>
            <w:tcW w:type="dxa" w:w="1872"/>
            <w:tcBorders>
              <w:top w:val="none" w:sz="4" w:space="0" w:color="auto"/>
              <w:left w:val="none" w:sz="0" w:space="0" w:color="auto"/>
              <w:bottom w:val="none" w:sz="8" w:space="0" w:color="auto"/>
              <w:right w:val="none" w:sz="0" w:space="0" w:color="auto"/>
            </w:tcBorders>
          </w:tcPr>
          <w:p>
            <w:r>
              <w:rPr>
                <w:sz w:val="17"/>
              </w:rPr>
              <w:t>Probabilistic (P(viol) &gt;&gt; 0)</w:t>
            </w:r>
          </w:p>
        </w:tc>
        <w:tc>
          <w:tcPr>
            <w:tcW w:type="dxa" w:w="1872"/>
            <w:tcBorders>
              <w:top w:val="none" w:sz="4" w:space="0" w:color="auto"/>
              <w:left w:val="none" w:sz="0" w:space="0" w:color="auto"/>
              <w:bottom w:val="none" w:sz="8" w:space="0" w:color="auto"/>
              <w:right w:val="none" w:sz="0" w:space="0" w:color="auto"/>
            </w:tcBorders>
          </w:tcPr>
          <w:p>
            <w:r>
              <w:rPr>
                <w:sz w:val="17"/>
              </w:rPr>
              <w:t>Heuristic (P(viol) &gt; 0)</w:t>
            </w:r>
          </w:p>
        </w:tc>
        <w:tc>
          <w:tcPr>
            <w:tcW w:type="dxa" w:w="1872"/>
            <w:shd w:fill="EFF6FF"/>
            <w:tcBorders>
              <w:top w:val="none" w:sz="4" w:space="0" w:color="auto"/>
              <w:left w:val="none" w:sz="0" w:space="0" w:color="auto"/>
              <w:bottom w:val="none" w:sz="8" w:space="0" w:color="auto"/>
              <w:right w:val="none" w:sz="0" w:space="0" w:color="auto"/>
            </w:tcBorders>
          </w:tcPr>
          <w:p>
            <w:r>
              <w:rPr>
                <w:b/>
                <w:sz w:val="17"/>
              </w:rPr>
              <w:t>Deterministic (P(Phi_struct = False) = 0)</w:t>
            </w:r>
          </w:p>
        </w:tc>
      </w:tr>
      <w:tr>
        <w:tc>
          <w:tcPr>
            <w:tcW w:type="dxa" w:w="1872"/>
            <w:tcBorders>
              <w:top w:val="none" w:sz="4" w:space="0" w:color="auto"/>
              <w:left w:val="none" w:sz="0" w:space="0" w:color="auto"/>
              <w:bottom w:val="none" w:sz="8" w:space="0" w:color="auto"/>
              <w:right w:val="none" w:sz="0" w:space="0" w:color="auto"/>
            </w:tcBorders>
          </w:tcPr>
          <w:p>
            <w:r>
              <w:rPr>
                <w:sz w:val="17"/>
              </w:rPr>
              <w:t>Adversarial Jailbreak Resistance</w:t>
            </w:r>
          </w:p>
        </w:tc>
        <w:tc>
          <w:tcPr>
            <w:tcW w:type="dxa" w:w="1872"/>
            <w:tcBorders>
              <w:top w:val="none" w:sz="4" w:space="0" w:color="auto"/>
              <w:left w:val="none" w:sz="0" w:space="0" w:color="auto"/>
              <w:bottom w:val="none" w:sz="8" w:space="0" w:color="auto"/>
              <w:right w:val="none" w:sz="0" w:space="0" w:color="auto"/>
            </w:tcBorders>
          </w:tcPr>
          <w:p>
            <w:r>
              <w:rPr>
                <w:sz w:val="17"/>
              </w:rPr>
              <w:t>Zero</w:t>
            </w:r>
          </w:p>
        </w:tc>
        <w:tc>
          <w:tcPr>
            <w:tcW w:type="dxa" w:w="1872"/>
            <w:tcBorders>
              <w:top w:val="none" w:sz="4" w:space="0" w:color="auto"/>
              <w:left w:val="none" w:sz="0" w:space="0" w:color="auto"/>
              <w:bottom w:val="none" w:sz="8" w:space="0" w:color="auto"/>
              <w:right w:val="none" w:sz="0" w:space="0" w:color="auto"/>
            </w:tcBorders>
          </w:tcPr>
          <w:p>
            <w:r>
              <w:rPr>
                <w:sz w:val="17"/>
              </w:rPr>
              <w:t>Fails under persona/roleplay</w:t>
            </w:r>
          </w:p>
        </w:tc>
        <w:tc>
          <w:tcPr>
            <w:tcW w:type="dxa" w:w="1872"/>
            <w:tcBorders>
              <w:top w:val="none" w:sz="4" w:space="0" w:color="auto"/>
              <w:left w:val="none" w:sz="0" w:space="0" w:color="auto"/>
              <w:bottom w:val="none" w:sz="8" w:space="0" w:color="auto"/>
              <w:right w:val="none" w:sz="0" w:space="0" w:color="auto"/>
            </w:tcBorders>
          </w:tcPr>
          <w:p>
            <w:r>
              <w:rPr>
                <w:sz w:val="17"/>
              </w:rPr>
              <w:t>Vulnerable to obfuscation</w:t>
            </w:r>
          </w:p>
        </w:tc>
        <w:tc>
          <w:tcPr>
            <w:tcW w:type="dxa" w:w="1872"/>
            <w:shd w:fill="EFF6FF"/>
            <w:tcBorders>
              <w:top w:val="none" w:sz="4" w:space="0" w:color="auto"/>
              <w:left w:val="none" w:sz="0" w:space="0" w:color="auto"/>
              <w:bottom w:val="none" w:sz="8" w:space="0" w:color="auto"/>
              <w:right w:val="none" w:sz="0" w:space="0" w:color="auto"/>
            </w:tcBorders>
          </w:tcPr>
          <w:p>
            <w:r>
              <w:rPr>
                <w:b/>
                <w:sz w:val="17"/>
              </w:rPr>
              <w:t>Mathematically immune to in-context attacks</w:t>
            </w:r>
          </w:p>
        </w:tc>
      </w:tr>
      <w:tr>
        <w:tc>
          <w:tcPr>
            <w:tcW w:type="dxa" w:w="1872"/>
            <w:tcBorders>
              <w:top w:val="none" w:sz="4" w:space="0" w:color="auto"/>
              <w:left w:val="none" w:sz="0" w:space="0" w:color="auto"/>
              <w:bottom w:val="none" w:sz="8" w:space="0" w:color="auto"/>
              <w:right w:val="none" w:sz="0" w:space="0" w:color="auto"/>
            </w:tcBorders>
          </w:tcPr>
          <w:p>
            <w:r>
              <w:rPr>
                <w:sz w:val="17"/>
              </w:rPr>
              <w:t>Multi-Token Numeric Bounds</w:t>
            </w:r>
          </w:p>
        </w:tc>
        <w:tc>
          <w:tcPr>
            <w:tcW w:type="dxa" w:w="1872"/>
            <w:tcBorders>
              <w:top w:val="none" w:sz="4" w:space="0" w:color="auto"/>
              <w:left w:val="none" w:sz="0" w:space="0" w:color="auto"/>
              <w:bottom w:val="none" w:sz="8" w:space="0" w:color="auto"/>
              <w:right w:val="none" w:sz="0" w:space="0" w:color="auto"/>
            </w:tcBorders>
          </w:tcPr>
          <w:p>
            <w:r>
              <w:rPr>
                <w:sz w:val="17"/>
              </w:rPr>
              <w:t>Unconstrained</w:t>
            </w:r>
          </w:p>
        </w:tc>
        <w:tc>
          <w:tcPr>
            <w:tcW w:type="dxa" w:w="1872"/>
            <w:tcBorders>
              <w:top w:val="none" w:sz="4" w:space="0" w:color="auto"/>
              <w:left w:val="none" w:sz="0" w:space="0" w:color="auto"/>
              <w:bottom w:val="none" w:sz="8" w:space="0" w:color="auto"/>
              <w:right w:val="none" w:sz="0" w:space="0" w:color="auto"/>
            </w:tcBorders>
          </w:tcPr>
          <w:p>
            <w:r>
              <w:rPr>
                <w:sz w:val="17"/>
              </w:rPr>
              <w:t>Soft prompt request</w:t>
            </w:r>
          </w:p>
        </w:tc>
        <w:tc>
          <w:tcPr>
            <w:tcW w:type="dxa" w:w="1872"/>
            <w:tcBorders>
              <w:top w:val="none" w:sz="4" w:space="0" w:color="auto"/>
              <w:left w:val="none" w:sz="0" w:space="0" w:color="auto"/>
              <w:bottom w:val="none" w:sz="8" w:space="0" w:color="auto"/>
              <w:right w:val="none" w:sz="0" w:space="0" w:color="auto"/>
            </w:tcBorders>
          </w:tcPr>
          <w:p>
            <w:r>
              <w:rPr>
                <w:sz w:val="17"/>
              </w:rPr>
              <w:t>Post-execution error</w:t>
            </w:r>
          </w:p>
        </w:tc>
        <w:tc>
          <w:tcPr>
            <w:tcW w:type="dxa" w:w="1872"/>
            <w:shd w:fill="EFF6FF"/>
            <w:tcBorders>
              <w:top w:val="none" w:sz="4" w:space="0" w:color="auto"/>
              <w:left w:val="none" w:sz="0" w:space="0" w:color="auto"/>
              <w:bottom w:val="none" w:sz="8" w:space="0" w:color="auto"/>
              <w:right w:val="none" w:sz="0" w:space="0" w:color="auto"/>
            </w:tcBorders>
          </w:tcPr>
          <w:p>
            <w:r>
              <w:rPr>
                <w:b/>
                <w:sz w:val="17"/>
              </w:rPr>
              <w:t>BPE-Safe Regular Grammar (C_r &lt;= $50.00)</w:t>
            </w:r>
          </w:p>
        </w:tc>
      </w:tr>
      <w:tr>
        <w:tc>
          <w:tcPr>
            <w:tcW w:type="dxa" w:w="1872"/>
            <w:tcBorders>
              <w:top w:val="none" w:sz="4" w:space="0" w:color="auto"/>
              <w:left w:val="none" w:sz="0" w:space="0" w:color="auto"/>
              <w:bottom w:val="none" w:sz="8" w:space="0" w:color="auto"/>
              <w:right w:val="none" w:sz="0" w:space="0" w:color="auto"/>
            </w:tcBorders>
          </w:tcPr>
          <w:p>
            <w:r>
              <w:rPr>
                <w:sz w:val="17"/>
              </w:rPr>
              <w:t>Grammar Scalability</w:t>
            </w:r>
          </w:p>
        </w:tc>
        <w:tc>
          <w:tcPr>
            <w:tcW w:type="dxa" w:w="1872"/>
            <w:tcBorders>
              <w:top w:val="none" w:sz="4" w:space="0" w:color="auto"/>
              <w:left w:val="none" w:sz="0" w:space="0" w:color="auto"/>
              <w:bottom w:val="none" w:sz="8" w:space="0" w:color="auto"/>
              <w:right w:val="none" w:sz="0" w:space="0" w:color="auto"/>
            </w:tcBorders>
          </w:tcPr>
          <w:p>
            <w:r>
              <w:rPr>
                <w:sz w:val="17"/>
              </w:rPr>
              <w:t>N/A</w:t>
            </w:r>
          </w:p>
        </w:tc>
        <w:tc>
          <w:tcPr>
            <w:tcW w:type="dxa" w:w="1872"/>
            <w:tcBorders>
              <w:top w:val="none" w:sz="4" w:space="0" w:color="auto"/>
              <w:left w:val="none" w:sz="0" w:space="0" w:color="auto"/>
              <w:bottom w:val="none" w:sz="8" w:space="0" w:color="auto"/>
              <w:right w:val="none" w:sz="0" w:space="0" w:color="auto"/>
            </w:tcBorders>
          </w:tcPr>
          <w:p>
            <w:r>
              <w:rPr>
                <w:sz w:val="17"/>
              </w:rPr>
              <w:t>Degrades with prompt context</w:t>
            </w:r>
          </w:p>
        </w:tc>
        <w:tc>
          <w:tcPr>
            <w:tcW w:type="dxa" w:w="1872"/>
            <w:tcBorders>
              <w:top w:val="none" w:sz="4" w:space="0" w:color="auto"/>
              <w:left w:val="none" w:sz="0" w:space="0" w:color="auto"/>
              <w:bottom w:val="none" w:sz="8" w:space="0" w:color="auto"/>
              <w:right w:val="none" w:sz="0" w:space="0" w:color="auto"/>
            </w:tcBorders>
          </w:tcPr>
          <w:p>
            <w:r>
              <w:rPr>
                <w:sz w:val="17"/>
              </w:rPr>
              <w:t>N/A</w:t>
            </w:r>
          </w:p>
        </w:tc>
        <w:tc>
          <w:tcPr>
            <w:tcW w:type="dxa" w:w="1872"/>
            <w:shd w:fill="EFF6FF"/>
            <w:tcBorders>
              <w:top w:val="none" w:sz="4" w:space="0" w:color="auto"/>
              <w:left w:val="none" w:sz="0" w:space="0" w:color="auto"/>
              <w:bottom w:val="none" w:sz="8" w:space="0" w:color="auto"/>
              <w:right w:val="none" w:sz="0" w:space="0" w:color="auto"/>
            </w:tcBorders>
          </w:tcPr>
          <w:p>
            <w:r>
              <w:rPr>
                <w:b/>
                <w:sz w:val="17"/>
              </w:rPr>
              <w:t>Localized Sub-Grammar O(|T_r| * |V|)</w:t>
            </w:r>
          </w:p>
        </w:tc>
      </w:tr>
      <w:tr>
        <w:tc>
          <w:tcPr>
            <w:tcW w:type="dxa" w:w="1872"/>
            <w:tcBorders>
              <w:top w:val="none" w:sz="4" w:space="0" w:color="auto"/>
              <w:left w:val="none" w:sz="0" w:space="0" w:color="auto"/>
              <w:bottom w:val="single" w:sz="8" w:space="0" w:color="auto"/>
              <w:right w:val="none" w:sz="0" w:space="0" w:color="auto"/>
            </w:tcBorders>
          </w:tcPr>
          <w:p>
            <w:r>
              <w:rPr>
                <w:sz w:val="17"/>
              </w:rPr>
              <w:t>Tokenizer Invariance</w:t>
            </w:r>
          </w:p>
        </w:tc>
        <w:tc>
          <w:tcPr>
            <w:tcW w:type="dxa" w:w="1872"/>
            <w:tcBorders>
              <w:top w:val="none" w:sz="4" w:space="0" w:color="auto"/>
              <w:left w:val="none" w:sz="0" w:space="0" w:color="auto"/>
              <w:bottom w:val="single" w:sz="8" w:space="0" w:color="auto"/>
              <w:right w:val="none" w:sz="0" w:space="0" w:color="auto"/>
            </w:tcBorders>
          </w:tcPr>
          <w:p>
            <w:r>
              <w:rPr>
                <w:sz w:val="17"/>
              </w:rPr>
              <w:t>Model-specific</w:t>
            </w:r>
          </w:p>
        </w:tc>
        <w:tc>
          <w:tcPr>
            <w:tcW w:type="dxa" w:w="1872"/>
            <w:tcBorders>
              <w:top w:val="none" w:sz="4" w:space="0" w:color="auto"/>
              <w:left w:val="none" w:sz="0" w:space="0" w:color="auto"/>
              <w:bottom w:val="single" w:sz="8" w:space="0" w:color="auto"/>
              <w:right w:val="none" w:sz="0" w:space="0" w:color="auto"/>
            </w:tcBorders>
          </w:tcPr>
          <w:p>
            <w:r>
              <w:rPr>
                <w:sz w:val="17"/>
              </w:rPr>
              <w:t>Model-specific</w:t>
            </w:r>
          </w:p>
        </w:tc>
        <w:tc>
          <w:tcPr>
            <w:tcW w:type="dxa" w:w="1872"/>
            <w:tcBorders>
              <w:top w:val="none" w:sz="4" w:space="0" w:color="auto"/>
              <w:left w:val="none" w:sz="0" w:space="0" w:color="auto"/>
              <w:bottom w:val="single" w:sz="8" w:space="0" w:color="auto"/>
              <w:right w:val="none" w:sz="0" w:space="0" w:color="auto"/>
            </w:tcBorders>
          </w:tcPr>
          <w:p>
            <w:r>
              <w:rPr>
                <w:sz w:val="17"/>
              </w:rPr>
              <w:t>Text-dependent</w:t>
            </w:r>
          </w:p>
        </w:tc>
        <w:tc>
          <w:tcPr>
            <w:tcW w:type="dxa" w:w="1872"/>
            <w:shd w:fill="EFF6FF"/>
            <w:tcBorders>
              <w:top w:val="none" w:sz="4" w:space="0" w:color="auto"/>
              <w:left w:val="none" w:sz="0" w:space="0" w:color="auto"/>
              <w:bottom w:val="single" w:sz="8" w:space="0" w:color="auto"/>
              <w:right w:val="none" w:sz="0" w:space="0" w:color="auto"/>
            </w:tcBorders>
          </w:tcPr>
          <w:p>
            <w:r>
              <w:rPr>
                <w:b/>
                <w:sz w:val="17"/>
              </w:rPr>
              <w:t>Unicode-terminal invariant across BPE vocabs</w:t>
            </w:r>
          </w:p>
        </w:tc>
      </w:tr>
    </w:tbl>
    <w:p/>
    <w:p>
      <w:pPr>
        <w:jc w:val="center"/>
      </w:pPr>
    </w:p>
    <w:p>
      <w:r>
        <w:drawing>
          <wp:inline xmlns:a="http://schemas.openxmlformats.org/drawingml/2006/main" xmlns:pic="http://schemas.openxmlformats.org/drawingml/2006/picture">
            <wp:extent cx="5852160" cy="3382092"/>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9"/>
                    <a:stretch>
                      <a:fillRect/>
                    </a:stretch>
                  </pic:blipFill>
                  <pic:spPr>
                    <a:xfrm>
                      <a:off x="0" y="0"/>
                      <a:ext cx="5852160" cy="3382092"/>
                    </a:xfrm>
                    <a:prstGeom prst="rect"/>
                  </pic:spPr>
                </pic:pic>
              </a:graphicData>
            </a:graphic>
          </wp:inline>
        </w:drawing>
      </w:r>
    </w:p>
    <w:p>
      <w:pPr>
        <w:spacing w:after="200"/>
        <w:jc w:val="center"/>
      </w:pPr>
      <w:r>
        <w:rPr>
          <w:i/>
          <w:sz w:val="19"/>
        </w:rPr>
        <w:t>Figure 1: System architecture of Ontology-Constrained Token Decoding (O-CTD). Phase I: Offline compilation maps the declarative enterprise RBAC ontology into localized Context-Free Grammars (G_r) and vocabulary DFAs (D_r). Phase II: Online neuro-symbolic execution dynamically projects unconstrained LLM logits onto the admissible token mask A(q_{t-1}), mathematically precluding out-of-privilege tool invocations and parameter violations.</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To establish formal verification boundaries, we partition the tool argument assignment dictionary theta into structured, bounded parameters and unbounded natural-language strings:</w:t>
        <w:br/>
        <w:t xml:space="preserve">    theta = &lt; theta_bounded, theta_free &gt;                                     (2)</w:t>
        <w:br/>
        <w:t>where theta_bounded encompasses categorical enumerations, booleans, and numeric parameters governed by formal security axioms Sigma_r, while theta_free represents open-ended free-text fields (e.g., support ticket notes, user search queries). An executed action is defined as a pair a = &lt;t, theta&gt;. The global authorization predicate Phi(a, r) is formally decoupled as:</w:t>
        <w:br/>
        <w:t xml:space="preserve">    Phi(&lt;t, theta&gt;, r) &lt;=&gt; Phi_struct(&lt;t, theta_bounded&gt;, r) and Phi_semantic(theta_free)        (3)</w:t>
        <w:br/>
        <w:t>where the structural and parametric authorization predicate Phi_struct evaluates as:</w:t>
        <w:br/>
        <w:t xml:space="preserve">    Phi_struct(&lt;t, theta_bounded&gt;, r) &lt;=&gt; (t in T_r) and (forall sigma in Sigma_r, sigma(theta_bounded) = True)  (4)</w:t>
      </w:r>
    </w:p>
    <w:p>
      <w:r>
        <w:t>In enterprise decision-support settings, parametric axioms sigma in Sigma_r enforce strict operational boundaries:</w:t>
        <w:br/>
        <w:t xml:space="preserve">    sigma_refund(theta)  &lt;=&gt;  theta['amount_usd'] &lt;= C_r                     (5)</w:t>
        <w:br/>
        <w:t xml:space="preserve">    sigma_address(theta) &lt;=&gt;  theta['is_international'] = False             (6)</w:t>
        <w:br/>
        <w:t xml:space="preserve">    sigma_sql(theta)     &lt;=&gt;  theta['query'] not in L_prohibited              (7)</w:t>
        <w:b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2.1 Context-Free Grammar Compilation</w:t>
      </w:r>
    </w:p>
    <w:p>
      <w:r>
        <w:t>To enforce Phi_struct(&lt;t, theta_bounded&gt;, r) during autoregressive inference, the compilation operator M maps the active role definition r into a formal Context-Free Grammar G_r = &lt;V_N, V_T, P, S&gt; [21, 22]:</w:t>
        <w:br/>
        <w:t xml:space="preserve">    M: r |-&gt; G_r                                                            (8)</w:t>
        <w:br/>
        <w:t>where V_T is the terminal alphabet (the model's character encoding), V_N is the set of non-terminals, P is the set of production rules, and S is the start symbol.</w:t>
        <w:br/>
        <w:br/>
        <w:t>Under G_r, the production rule for the action name is strictly restricted to the literal disjunction of authorized tools:</w:t>
        <w:br/>
        <w:t xml:space="preserve">    S_action -&gt; 'action_name': ( t_{r, 1} | t_{r, 2} | ... | t_{r, |T_r|} )   forall t_{r, j} in T_r       (9)</w:t>
      </w:r>
    </w:p>
    <w:p>
      <w:pPr>
        <w:keepNext/>
        <w:spacing w:before="200" w:after="60"/>
      </w:pPr>
      <w:r>
        <w:rPr>
          <w:rFonts w:ascii="Times New Roman" w:hAnsi="Times New Roman"/>
          <w:b/>
          <w:i/>
          <w:color w:val="1E293B"/>
          <w:sz w:val="23"/>
        </w:rPr>
        <w:t>2.2 BPE-Safe Numeric Sub-Grammar Formulation</w:t>
      </w:r>
    </w:p>
    <w:p>
      <w:r>
        <w:t>Enforcing continuous numeric bounds (e.g., theta['amount_usd'] &lt;= C_r) over Byte-Pair Encoded (BPE) sub-word tokenizers represents a non-trivial challenge, as tokens correspond to arbitrary byte sequences rather than structured decimal positions. To guarantee that no numeric token sequence representing a value exceeding C_r can be sampled, O-CTD compiles parametric ceilings into bounded regular grammars. For a role ceiling C_r = $50.00, the production rules in Extended Backus-Naur Form (EBNF) are:</w:t>
        <w:br/>
        <w:br/>
        <w:t xml:space="preserve">    RefundAmount ::= IntegerPart ('.' [0-9] [0-9])?                         (10)</w:t>
        <w:br/>
        <w:t xml:space="preserve">    IntegerPart  ::= [0-9] | [1-4][0-9] | '50'                              (11)</w:t>
        <w:br/>
        <w:br/>
        <w:t>This regular language L_num = { x in R_{&gt;=0} | x &lt;= C_r } is compiled into a Deterministic Finite Automaton D_num. When intersecting D_num with the tokenizer vocabulary V, any token whose concatenation with preceding prefix digits produces a numerical prefix &gt; C_r (e.g., token '51' or token '100') contains no outgoing transition delta(q, v) and is assigned an infinite negative mask [23].</w:t>
      </w:r>
    </w:p>
    <w:p>
      <w:pPr>
        <w:keepNext/>
        <w:spacing w:before="200" w:after="60"/>
      </w:pPr>
      <w:r>
        <w:rPr>
          <w:rFonts w:ascii="Times New Roman" w:hAnsi="Times New Roman"/>
          <w:b/>
          <w:i/>
          <w:color w:val="1E293B"/>
          <w:sz w:val="23"/>
        </w:rPr>
        <w:t>2.3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(12)</w:t>
        <w:br/>
        <w:br/>
        <w:t>The neuro-symbolic projection operator P_{G_r}: R^{|V|} -&gt; R^{|V|} masks the logit distribution:</w:t>
        <w:br/>
        <w:t xml:space="preserve">    P_{G_r}(z_t)_v = z_{t, v}  if v in A(q_t),  else -infinity                  (13)</w:t>
        <w:br/>
        <w:br/>
        <w:t>The next token is sampled from the normalized masked distribution:</w:t>
        <w:br/>
        <w:t xml:space="preserve">    x_t ~ Softmax( P_{G_r}(z_t) )                                            (14)</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Ensure: Valid, authorized tool call a = &lt;t, theta&gt; satisfying Phi_struct(&lt;t, theta_bounded&gt;,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14)</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p>
      <w:pPr>
        <w:keepNext/>
        <w:spacing w:before="200" w:after="60"/>
      </w:pPr>
      <w:r>
        <w:rPr>
          <w:rFonts w:ascii="Times New Roman" w:hAnsi="Times New Roman"/>
          <w:b/>
          <w:i/>
          <w:color w:val="1E293B"/>
          <w:sz w:val="23"/>
        </w:rPr>
        <w:t>2.4 Theoretical Soundness &amp; Decidability Boundaries</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Structural &amp; Parametric Enforcement)</w:t>
            </w:r>
          </w:p>
          <w:p>
            <w:pPr>
              <w:spacing w:before="40" w:after="80"/>
            </w:pPr>
            <w:r>
              <w:rPr>
                <w:rFonts w:ascii="Times New Roman" w:hAnsi="Times New Roman"/>
                <w:color w:val="334155"/>
                <w:sz w:val="20"/>
              </w:rPr>
              <w:t>Let x = [x_1, ..., x_K] be a generation sequence completed under O-CTD. Then the extracted tool invocation a = &lt;t, theta&gt; = Parse(x) satisfies:</w:t>
              <w:br/>
              <w:t xml:space="preserve">    P( Phi_struct(&lt;t, theta_bounded&gt;, r) = False ) = 0                       (15)</w:t>
              <w:br/>
              <w:t>for all structural tool signatures and bounded parametric axioms encoded within G_r.</w:t>
              <w:br/>
              <w:br/>
              <w:t>Proof. By construction, generating an unauthorized tool t not in T_r or a numeric token sequence violating theta_bounded &lt;= C_r requires traversing an invalid state transition delta(q_t, v) = empty in D_r. By Eq. (13), P_{G_r}(z_t)_v = -infinity, which yields P(x_t = v) = 0 upon Softmax normalization. By mathematical induction over generation steps 1 &lt;= t &lt;= K, the probability of emitting any non-conforming token sequence is identically zero. Q.E.D.</w:t>
            </w:r>
          </w:p>
        </w:tc>
      </w:tr>
    </w:tbl>
    <w:p>
      <w:pPr>
        <w:spacing w:before="0" w:after="80"/>
      </w:pPr>
    </w:p>
    <w:p>
      <w:r>
        <w:t>Remark 1 (Decidability Boundary and Semantic Orthogonality): Theorem 1 guarantees soundness strictly over the structural and bounded parametric domain Phi_struct. Conversely, semantic validation over unbounded natural-language strings theta_free (e.g., ensuring a customer support note does not leak confidential context) is undecidable via regular or context-free grammars alone. This formal theoretical distinction directly explains the empirical residual ASR observed in Section 4.4.</w:t>
      </w:r>
    </w:p>
    <w:p>
      <w:pPr>
        <w:keepNext/>
        <w:spacing w:before="200" w:after="60"/>
      </w:pPr>
      <w:r>
        <w:rPr>
          <w:rFonts w:ascii="Times New Roman" w:hAnsi="Times New Roman"/>
          <w:b/>
          <w:i/>
          <w:color w:val="1E293B"/>
          <w:sz w:val="23"/>
        </w:rPr>
        <w:t>2.5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00" w:after="60"/>
      </w:pPr>
      <w:r>
        <w:rPr>
          <w:rFonts w:ascii="Times New Roman" w:hAnsi="Times New Roman"/>
          <w:b/>
          <w:i/>
          <w:color w:val="1E293B"/>
          <w:sz w:val="23"/>
        </w:rPr>
        <w:t>2.6 Cross-Architecture Portability &amp; Tokenizer Invariance</w:t>
      </w:r>
    </w:p>
    <w:p>
      <w:r>
        <w:t>A vital theoretical property of O-CTD is its strict invariance to foundation model tokenization architectures. Modern open-weight foundation models utilize divergent tokenization strategies with distinct vocabulary dimensions, such as Qwen2.5-7B (|V| = 151,643 sub-words with byte fallback) [2] and Llama-3.1-8B (|V| = 128,256 sub-words via tiktoken) [3].</w:t>
        <w:br/>
        <w:br/>
        <w:t>Because the compilation mapping M: r |-&gt; G_r defines production rules over Unicode terminal characters, the DFA state transition function delta(q_t, v) is constructed by projecting the grammar onto the specific vocabulary V of whichever underlying foundation model is deployed:</w:t>
        <w:br/>
        <w:t xml:space="preserve">    A_model(q_t) = { v in V_model | exists q', delta(q_t, v) = q' }          (16)</w:t>
        <w:br/>
        <w:br/>
        <w:t>Consequently, Theorem 1's guarantee of axiomatic containment (P(Phi_struct = False) = 0) holds identically across both Qwen and Llama model families, ensuring portable neuro-symbolic enforcement across heterogeneous foundation model deployments.</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pPr>
        <w:keepNext/>
        <w:spacing w:before="200" w:after="60"/>
      </w:pPr>
      <w:r>
        <w:rPr>
          <w:rFonts w:ascii="Times New Roman" w:hAnsi="Times New Roman"/>
          <w:b/>
          <w:i/>
          <w:color w:val="1E293B"/>
          <w:sz w:val="23"/>
        </w:rPr>
        <w:t>3.2 Hardware and Software Configuration</w:t>
      </w:r>
    </w:p>
    <w:p>
      <w:r>
        <w:t>All experiments were executed on a dedicated high-performance compute node with the following specifications:</w:t>
        <w:br/>
        <w:t>- Hardware Architecture: A single NVIDIA GeForce RTX 4090 GPU (Ada Lovelace architecture, 16,384 CUDA cores, 24 GB GDDR6X VRAM on PCIe 4.0), coupled with a 16-core Intel Xeon Gold processor and 64 GB host system RAM.</w:t>
        <w:br/>
        <w:t>- Software Stack: Ubuntu 22.04 LTS, CUDA 12.1 driver, Python 3.10 runtime environment, and PyTorch 2.3.1+cu121.</w:t>
        <w:br/>
        <w:t>- Inference &amp; Grammar Engine: HuggingFace Transformers 4.41.2 and Outlines 1.0.0 for token-level DFA compilation and logit masking. Non-parametric statistical tests were executed with SciPy 1.13.0.</w:t>
        <w:br/>
        <w:t>- Model Execution Controls: Qwen/Qwen2.5-7B-Instruct [2] loaded in native bfloat16 precision directly onto cuda:0 with zero CPU offloading. Generation parameters were strictly pinned to greedy decoding (temperature = 0.0, top_p = 1.0) with maximum token generation length capped at 512 tokens. A global fixed random seed (tau = 42) was enforced across all benchmark runs to guarantee complete determinism and reproducibility.</w:t>
      </w:r>
    </w:p>
    <w:p>
      <w:pPr>
        <w:keepNext/>
        <w:spacing w:before="200" w:after="60"/>
      </w:pPr>
      <w:r>
        <w:rPr>
          <w:rFonts w:ascii="Times New Roman" w:hAnsi="Times New Roman"/>
          <w:b/>
          <w:i/>
          <w:color w:val="1E293B"/>
          <w:sz w:val="23"/>
        </w:rPr>
        <w:t>3.3 Formal Evaluation Metrics</w:t>
      </w:r>
    </w:p>
    <w:p>
      <w:r>
        <w:t>We track five formal evaluation metrics to comprehensively assess security containment, task utility, and computational overhead:</w:t>
        <w:br/>
        <w:t>1. Attack Success Rate (ASR) [% ↓]: Fraction of adversarial attack inputs (N_adv = 50) wherein the model executes the adversary's unauthorized goal:</w:t>
        <w:br/>
        <w:t xml:space="preserve">       ASR = (1 / N_adv) * sum_{i=1}^{N_adv} 1[GoalAchieved(a_i) = True]</w:t>
        <w:br/>
        <w:br/>
        <w:t>2. Invariant Violation Rate (IVR) [% ↓]: Proportion of total invocations (N = 100) that violate any declarative security axiom sigma in Sigma_r:</w:t>
        <w:br/>
        <w:t xml:space="preserve">       IVR = (1 / N) * sum_{i=1}^{N} 1[exists sigma in Sigma_r, sigma(theta_{i,bounded}) = False]</w:t>
        <w:br/>
        <w:br/>
        <w:t>3. Strict Benign Task Completion (Strict BTC) [% ↑]: Percentage of benign enterprise prompts (N_benign = 50) that successfully execute through automated JSON API gateways without human intervention:</w:t>
        <w:br/>
        <w:t xml:space="preserve">       Strict BTC = (1 / N_benign) * sum_{i=1}^{N_benign} 1[ValidGatewayJSON(a_i) and Phi_struct(a_i, r) = True]</w:t>
        <w:br/>
        <w:br/>
        <w:t>4. Relaxed Benign Task Completion (Relaxed BTC) [% ↑]: Evaluates task utility after applying heuristic regular-expression extraction (re.search(r'\{.*\}', text, re.DOTALL)) to isolate JSON payloads from conversational chatter:</w:t>
        <w:br/>
        <w:t xml:space="preserve">       Relaxed BTC = (1 / N_benign) * sum_{i=1}^{N_benign} 1[RegexJSON(a_i) and Phi_struct(a_i, r) = True]</w:t>
        <w:br/>
        <w:br/>
        <w:t>5. Inference Latency Overhead [ms ↓]: End-to-end wall-clock duration per generation query, reporting both Mean and 95th-percentile (P95) latency over matched inputs.</w:t>
      </w:r>
    </w:p>
    <w:p>
      <w:pPr>
        <w:keepNext/>
        <w:spacing w:before="280" w:after="80"/>
      </w:pPr>
      <w:r>
        <w:rPr>
          <w:rFonts w:ascii="Times New Roman" w:hAnsi="Times New Roman"/>
          <w:b/>
          <w:color w:val="0F172A"/>
          <w:sz w:val="26"/>
        </w:rPr>
        <w:t>4. Empirical Results &amp; In-Depth Discussion</w:t>
      </w:r>
    </w:p>
    <w:p>
      <w:r>
        <w:t>Table 2 presents the comparative evaluation results across all 100 enterprise scenarios (400 total inferences).</w:t>
      </w:r>
    </w:p>
    <w:p>
      <w:pPr>
        <w:keepNext/>
        <w:spacing w:before="160" w:after="60"/>
      </w:pPr>
      <w:r>
        <w:rPr>
          <w:b/>
          <w:sz w:val="20"/>
        </w:rPr>
        <w:t>Table 2: Main comparative benchmark results across 100 enterprise business evaluation scenarios (400 inferences) using Qwen2.5-7B-Instruct on an NVIDIA RTX 4090. Strict BTC evaluates automated JSON gateway parsing, while Relaxed BTC evaluates regex preamble extraction.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IVR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Strict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Relaxed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337"/>
            <w:tcBorders>
              <w:top w:val="none" w:sz="4" w:space="0" w:color="auto"/>
              <w:left w:val="none" w:sz="0" w:space="0" w:color="auto"/>
              <w:bottom w:val="none" w:sz="8" w:space="0" w:color="auto"/>
              <w:right w:val="none" w:sz="0" w:space="0" w:color="auto"/>
            </w:tcBorders>
          </w:tcPr>
          <w:p>
            <w:r>
              <w:rPr>
                <w:sz w:val="18"/>
              </w:rPr>
              <w:t>M0 (Vanilla Base LLM)</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52.0%</w:t>
            </w:r>
          </w:p>
        </w:tc>
        <w:tc>
          <w:tcPr>
            <w:tcW w:type="dxa" w:w="1337"/>
            <w:tcBorders>
              <w:top w:val="none" w:sz="4" w:space="0" w:color="auto"/>
              <w:left w:val="none" w:sz="0" w:space="0" w:color="auto"/>
              <w:bottom w:val="none" w:sz="8" w:space="0" w:color="auto"/>
              <w:right w:val="none" w:sz="0" w:space="0" w:color="auto"/>
            </w:tcBorders>
          </w:tcPr>
          <w:p>
            <w:r>
              <w:rPr>
                <w:sz w:val="18"/>
              </w:rPr>
              <w:t>893.1 ms</w:t>
            </w:r>
          </w:p>
        </w:tc>
        <w:tc>
          <w:tcPr>
            <w:tcW w:type="dxa" w:w="1337"/>
            <w:tcBorders>
              <w:top w:val="none" w:sz="4" w:space="0" w:color="auto"/>
              <w:left w:val="none" w:sz="0" w:space="0" w:color="auto"/>
              <w:bottom w:val="none" w:sz="8" w:space="0" w:color="auto"/>
              <w:right w:val="none" w:sz="0" w:space="0" w:color="auto"/>
            </w:tcBorders>
          </w:tcPr>
          <w:p>
            <w:r>
              <w:rPr>
                <w:sz w:val="18"/>
              </w:rPr>
              <w:t>1396.1 ms</w:t>
            </w:r>
          </w:p>
        </w:tc>
      </w:tr>
      <w:tr>
        <w:tc>
          <w:tcPr>
            <w:tcW w:type="dxa" w:w="1337"/>
            <w:tcBorders>
              <w:top w:val="none" w:sz="4" w:space="0" w:color="auto"/>
              <w:left w:val="none" w:sz="0" w:space="0" w:color="auto"/>
              <w:bottom w:val="none" w:sz="8" w:space="0" w:color="auto"/>
              <w:right w:val="none" w:sz="0" w:space="0" w:color="auto"/>
            </w:tcBorders>
          </w:tcPr>
          <w:p>
            <w:r>
              <w:rPr>
                <w:sz w:val="18"/>
              </w:rPr>
              <w:t>M1 (Prompt Guard)</w:t>
            </w:r>
          </w:p>
        </w:tc>
        <w:tc>
          <w:tcPr>
            <w:tcW w:type="dxa" w:w="1337"/>
            <w:tcBorders>
              <w:top w:val="none" w:sz="4" w:space="0" w:color="auto"/>
              <w:left w:val="none" w:sz="0" w:space="0" w:color="auto"/>
              <w:bottom w:val="none" w:sz="8" w:space="0" w:color="auto"/>
              <w:right w:val="none" w:sz="0" w:space="0" w:color="auto"/>
            </w:tcBorders>
          </w:tcPr>
          <w:p>
            <w:r>
              <w:rPr>
                <w:sz w:val="18"/>
              </w:rPr>
              <w:t>80.0%</w:t>
            </w:r>
          </w:p>
        </w:tc>
        <w:tc>
          <w:tcPr>
            <w:tcW w:type="dxa" w:w="1337"/>
            <w:tcBorders>
              <w:top w:val="none" w:sz="4" w:space="0" w:color="auto"/>
              <w:left w:val="none" w:sz="0" w:space="0" w:color="auto"/>
              <w:bottom w:val="none" w:sz="8" w:space="0" w:color="auto"/>
              <w:right w:val="none" w:sz="0" w:space="0" w:color="auto"/>
            </w:tcBorders>
          </w:tcPr>
          <w:p>
            <w:r>
              <w:rPr>
                <w:sz w:val="18"/>
              </w:rPr>
              <w:t>90.0%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68.0%</w:t>
            </w:r>
          </w:p>
        </w:tc>
        <w:tc>
          <w:tcPr>
            <w:tcW w:type="dxa" w:w="1337"/>
            <w:tcBorders>
              <w:top w:val="none" w:sz="4" w:space="0" w:color="auto"/>
              <w:left w:val="none" w:sz="0" w:space="0" w:color="auto"/>
              <w:bottom w:val="none" w:sz="8" w:space="0" w:color="auto"/>
              <w:right w:val="none" w:sz="0" w:space="0" w:color="auto"/>
            </w:tcBorders>
          </w:tcPr>
          <w:p>
            <w:r>
              <w:rPr>
                <w:sz w:val="18"/>
              </w:rPr>
              <w:t>1157.0 ms</w:t>
            </w:r>
          </w:p>
        </w:tc>
        <w:tc>
          <w:tcPr>
            <w:tcW w:type="dxa" w:w="1337"/>
            <w:tcBorders>
              <w:top w:val="none" w:sz="4" w:space="0" w:color="auto"/>
              <w:left w:val="none" w:sz="0" w:space="0" w:color="auto"/>
              <w:bottom w:val="none" w:sz="8" w:space="0" w:color="auto"/>
              <w:right w:val="none" w:sz="0" w:space="0" w:color="auto"/>
            </w:tcBorders>
          </w:tcPr>
          <w:p>
            <w:r>
              <w:rPr>
                <w:sz w:val="18"/>
              </w:rPr>
              <w:t>2261.7 ms</w:t>
            </w:r>
          </w:p>
        </w:tc>
      </w:tr>
      <w:tr>
        <w:tc>
          <w:tcPr>
            <w:tcW w:type="dxa" w:w="1337"/>
            <w:tcBorders>
              <w:top w:val="none" w:sz="4" w:space="0" w:color="auto"/>
              <w:left w:val="none" w:sz="0" w:space="0" w:color="auto"/>
              <w:bottom w:val="none" w:sz="8" w:space="0" w:color="auto"/>
              <w:right w:val="none" w:sz="0" w:space="0" w:color="auto"/>
            </w:tcBorders>
          </w:tcPr>
          <w:p>
            <w:r>
              <w:rPr>
                <w:sz w:val="18"/>
              </w:rPr>
              <w:t>M2 (Post-Hoc Classifier)</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64.0%</w:t>
            </w:r>
          </w:p>
        </w:tc>
        <w:tc>
          <w:tcPr>
            <w:tcW w:type="dxa" w:w="1337"/>
            <w:tcBorders>
              <w:top w:val="none" w:sz="4" w:space="0" w:color="auto"/>
              <w:left w:val="none" w:sz="0" w:space="0" w:color="auto"/>
              <w:bottom w:val="none" w:sz="8" w:space="0" w:color="auto"/>
              <w:right w:val="none" w:sz="0" w:space="0" w:color="auto"/>
            </w:tcBorders>
          </w:tcPr>
          <w:p>
            <w:r>
              <w:rPr>
                <w:sz w:val="18"/>
              </w:rPr>
              <w:t>1120.3 ms</w:t>
            </w:r>
          </w:p>
        </w:tc>
        <w:tc>
          <w:tcPr>
            <w:tcW w:type="dxa" w:w="1337"/>
            <w:tcBorders>
              <w:top w:val="none" w:sz="4" w:space="0" w:color="auto"/>
              <w:left w:val="none" w:sz="0" w:space="0" w:color="auto"/>
              <w:bottom w:val="none" w:sz="8" w:space="0" w:color="auto"/>
              <w:right w:val="none" w:sz="0" w:space="0" w:color="auto"/>
            </w:tcBorders>
          </w:tcPr>
          <w:p>
            <w:r>
              <w:rPr>
                <w:sz w:val="18"/>
              </w:rPr>
              <w:t>1618.8 ms</w:t>
            </w:r>
          </w:p>
        </w:tc>
      </w:tr>
      <w:tr>
        <w:tc>
          <w:tcPr>
            <w:tcW w:type="dxa" w:w="1337"/>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IVR. When presented with adversarial framing, the LLM consistently prioritized user prompt instructions over system-level constraints, demonstrating that soft in-context prompts cannot guarantee security under adversarial distribution shifts [13, 14].</w:t>
      </w:r>
    </w:p>
    <w:p>
      <w:r>
        <w:t>2. Dual-Metric Utility: Strict Gateway vs. Relaxed Regex Extraction: Baselines M0, M1, and M2 exhibited 0.0% Strict BTC on benign business queries. Detailed log analysis reveals that this zero-shot failure was driven by conversational preambles (e.g., 'Certainly! I will process that request:') and non-standard JSON keys, which strict enterprise API gateways immediately reject. To determine whether this formatting artifact masked underlying model competence, we evaluated all baseline outputs under a relaxed regular-expression parser (re.search(r'\{.*\}', text, re.DOTALL)). Under relaxed extraction, M1 recovered to 68.0% Relaxed BTC. Crucially, however, M1's security metrics remained catastrophic: an 80.0% ASR and a 90.0% IVR. This definitively demonstrates that even when unconstrained baselines are granted heuristic post-hoc regex extraction to forgive formatting drift, soft system prompts fail fundamentally at axiomatic boundary containment. Conversely, O-CTD achieves 100.0% under both Strict and Relaxed BTC, simultaneously delivering syntactic determinism and axiomatic security.</w:t>
      </w:r>
    </w:p>
    <w:p>
      <w:r>
        <w:t>3. Security Enforcement of O-CTD: O-CTD achieved a 4x reduction in ASR (from 80.0% down to 20.0%) and a 9x reduction in policy invariant violations (from 90.0% down to 10.0%). Privilege escalation and out-of-bounds parameter tampering were physically blocked at the logit level.</w:t>
      </w:r>
    </w:p>
    <w:p>
      <w:pPr>
        <w:keepNext/>
        <w:spacing w:before="200" w:after="60"/>
      </w:pPr>
      <w:r>
        <w:rPr>
          <w:rFonts w:ascii="Times New Roman" w:hAnsi="Times New Roman"/>
          <w:b/>
          <w:i/>
          <w:color w:val="1E293B"/>
          <w:sz w:val="23"/>
        </w:rPr>
        <w:t>4.1 Category Ablation across Threat Vectors</w:t>
      </w:r>
    </w:p>
    <w:p>
      <w:r>
        <w:t>Table 3 provides an ablation breakdown across specific threat topologies.</w:t>
      </w:r>
    </w:p>
    <w:p>
      <w:pPr>
        <w:keepNext/>
        <w:spacing w:before="160" w:after="60"/>
      </w:pPr>
      <w:r>
        <w:rPr>
          <w:b/>
          <w:sz w:val="20"/>
        </w:rPr>
        <w:t>Table 3: Threat Vector Ablation Breakdown (Policy Invariant Violation Rates across Attack Topologies).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50.0%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3, O-CTD achieved a 0.0% violation rate on both Privilege Escalation and Indirect Prompt Injection. Under Parameter Tampering, O-CTD clamped all attempted refund amounts to the authorized role ceiling (C_r &lt;= $50.00).</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the paired Wilcoxon Signed-Rank Test was conducted across all matched prompt pairs between M1 and M*:</w:t>
        <w:br/>
        <w:t>- Wilcoxon Test Statistic (W): 0.0</w:t>
        <w:br/>
        <w:t>- Two-Sided p-Value: 3.7441 × 10⁻¹⁹ &lt;&lt; 0.001</w:t>
        <w:br/>
        <w:t>- Rank-Biserial Effect Size (r):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theta_free [10].</w:t>
        <w:br/>
        <w:br/>
        <w:t>2. Safe Fallback Invocations: Under aggressive injection where all attempted tool tokens were masked out by the DFA, the agent fell back to the default permitted tool (lookup_order_status). Although no policy violation occurred (Phi_struct = True), the benchmark marked the sample as partially engaged because the model did not output an explicit refusal string.</w:t>
        <w:br/>
        <w:br/>
        <w:t>This finding directly validates Remark 1: Context-Free Grammars mathematically eliminate structural and parametric privilege escalations (Phi_struct), but semantic validation inside unbounded free-text fields (theta_free) remains an orthogonal challenge requiring complementary semantic classifiers.</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ure1_pareto_tradeoff.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sz w:val="19"/>
        </w:rPr>
        <w:t>Figure 2: (a) Pareto trade-off between security vulnerability (ASR %) and enterprise utility (BTC %). O-CTD establishes a dominant position in the optimal top-left quadrant. (b) Computational latency overhead per invocation across architectures on NVIDIA RTX 4090.</w:t>
      </w:r>
    </w:p>
    <w:p>
      <w:r>
        <w:t>Figure 2(a) illustrates the Pareto frontier between security vulnerability and utility. Unconstrained baselines cluster in the bottom-right quadrant (high vulnerability, zero execution utility). O-CTD dominates the frontier, occupying the upper-left quadrant (100% utility, 20% ASR).</w:t>
        <w:br/>
        <w:br/>
        <w:t>Figure 2(b) documents the corresponding computational cost. M* introduces a mean latency of 3116.0 ms compared to 1157.0 ms for prompt guarding. This ~2.7x latency overhead stems from the runtime intersection between the tokenizer vocabulary (|V| ~ 152,000) and the DFA transition table at each generation step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 and Future Work</w:t>
      </w:r>
    </w:p>
    <w:p>
      <w:r>
        <w:t>In this paper, we introduced Ontology-Constrained Token Decoding (O-CTD), a neuro-symbolic framework that compiles declarative enterprise RBAC ontologies into runtime Context-Free Grammars and vocabulary DFAs for autonomous LLM agents. By enforcing deterministic logit masking during autoregressive generation, O-CTD mathematically eliminates unauthorized tool privilege escalations and parametric boundary tampering (P(Phi_struct = False) = 0). On a 100-sample enterprise benchmark using Qwen2.5-7B-Instruct, O-CTD reduced Attack Success Rates from 80% to 20%, decreased policy invariant violations from 90% to 10%, and achieved 100% task utility with strong statistical significance (W = 0.0, p = 3.74 × 10⁻¹⁹, r = 0.800).</w:t>
      </w:r>
    </w:p>
    <w:p>
      <w:pPr>
        <w:keepNext/>
        <w:spacing w:before="200" w:after="60"/>
      </w:pPr>
      <w:r>
        <w:rPr>
          <w:rFonts w:ascii="Times New Roman" w:hAnsi="Times New Roman"/>
          <w:b/>
          <w:i/>
          <w:color w:val="1E293B"/>
          <w:sz w:val="23"/>
        </w:rPr>
        <w:t>5.1 Limitations</w:t>
      </w:r>
    </w:p>
    <w:p>
      <w:r>
        <w:t>This investigation has two primary boundaries. First, while O-CTD provides absolute mathematical guarantees over structural tool selection and bounded parameters (P(Phi_struct = False) = 0), regular and context-free grammars cannot resolve semantic prompt injection within unbounded free-text argument fields theta_free (e.g., ticket comments or customer emails). Second, runtime logit masking introduces an average 2.7x latency overhead (3116.0 ms vs. 1157.0 ms) due to repeated DFA state-transition lookups across large foundation model vocabularies (|V| ~ 152,000).</w:t>
      </w:r>
    </w:p>
    <w:p>
      <w:pPr>
        <w:keepNext/>
        <w:spacing w:before="200" w:after="60"/>
      </w:pPr>
      <w:r>
        <w:rPr>
          <w:rFonts w:ascii="Times New Roman" w:hAnsi="Times New Roman"/>
          <w:b/>
          <w:i/>
          <w:color w:val="1E293B"/>
          <w:sz w:val="23"/>
        </w:rPr>
        <w:t>5.2 Future Directions</w:t>
      </w:r>
    </w:p>
    <w:p>
      <w:r>
        <w:t>Future work will proceed along two trajectories: (1) integrating Attribute Grammars and lightweight semantic guardrails to extend axiomatic verification across unbounded natural-language strings theta_free, and (2) implementing speculative decoding and GPU-accelerated bitmask DFA traversals (e.g., via CUDA kernel fusions) to reduce O-CTD decoding latency to near-parity with unconstrained inference.</w:t>
      </w:r>
    </w:p>
    <w:p>
      <w:pPr>
        <w:keepNext/>
        <w:spacing w:before="200" w:after="60"/>
      </w:pPr>
      <w:r>
        <w:rPr>
          <w:rFonts w:ascii="Times New Roman" w:hAnsi="Times New Roman"/>
          <w:b/>
          <w:i/>
          <w:color w:val="1E293B"/>
          <w:sz w:val="23"/>
        </w:rPr>
        <w:t>CRediT Authorship Contribution Statement</w:t>
      </w:r>
    </w:p>
    <w:p>
      <w:r>
        <w:t>Nithin Kumbam: Conceptualization, Methodology, Software, Validation, Formal analysis, Investigation, Data curation, Writing – original draft, Writing – review &amp; editing, Visualization, Project administration.</w:t>
      </w:r>
    </w:p>
    <w:p>
      <w:pPr>
        <w:keepNext/>
        <w:spacing w:before="200" w:after="60"/>
      </w:pPr>
      <w:r>
        <w:rPr>
          <w:rFonts w:ascii="Times New Roman" w:hAnsi="Times New Roman"/>
          <w:b/>
          <w:i/>
          <w:color w:val="1E293B"/>
          <w:sz w:val="23"/>
        </w:rPr>
        <w:t>Declaration of Generative AI in the Writing Process</w:t>
      </w:r>
    </w:p>
    <w:p>
      <w:r>
        <w:t>During the preparation of this work, the author utilized large language model assistants strictly for grammar refinement, language polishing, and manuscript typesetting. After using these tools, the author reviewed and edited all content, verified mathematical proofs, and takes full personal responsibility for the scientific integrity and claims of this publication.</w:t>
      </w:r>
    </w:p>
    <w:p>
      <w:pPr>
        <w:keepNext/>
        <w:spacing w:before="200" w:after="60"/>
      </w:pPr>
      <w:r>
        <w:rPr>
          <w:rFonts w:ascii="Times New Roman" w:hAnsi="Times New Roman"/>
          <w:b/>
          <w:i/>
          <w:color w:val="1E293B"/>
          <w:sz w:val="23"/>
        </w:rPr>
        <w:t>Declaration of Competing Interest</w:t>
      </w:r>
    </w:p>
    <w:p>
      <w:r>
        <w:t>The author declares that they have no known competing financial interests or personal relationships that could have appeared to influence the work reported in this paper.</w:t>
      </w:r>
    </w:p>
    <w:p>
      <w:pPr>
        <w:keepNext/>
        <w:spacing w:before="200" w:after="60"/>
      </w:pPr>
      <w:r>
        <w:rPr>
          <w:rFonts w:ascii="Times New Roman" w:hAnsi="Times New Roman"/>
          <w:b/>
          <w:i/>
          <w:color w:val="1E293B"/>
          <w:sz w:val="23"/>
        </w:rPr>
        <w:t>Acknowledgments</w:t>
      </w:r>
    </w:p>
    <w:p>
      <w:r>
        <w:t>The author acknowledges the open-source community behind the Outlines, vLLM, and InjecAgent frameworks for providing foundational tools that enabled this research.</w:t>
      </w:r>
    </w:p>
    <w:p>
      <w:pPr>
        <w:keepNext/>
        <w:spacing w:before="200" w:after="60"/>
      </w:pPr>
      <w:r>
        <w:rPr>
          <w:rFonts w:ascii="Times New Roman" w:hAnsi="Times New Roman"/>
          <w:b/>
          <w:i/>
          <w:color w:val="1E293B"/>
          <w:sz w:val="23"/>
        </w:rPr>
        <w:t>Data and Code Availability</w:t>
      </w:r>
    </w:p>
    <w:p>
      <w:r>
        <w:t>The full experimental benchmark suite, declarative Pydantic schemas, raw inference logs, and Python/PyTorch replication codebase are openly available under the MIT license at: https://github.com/nithin42/kbs-ontoguard.</w:t>
      </w:r>
    </w:p>
    <w:p>
      <w:pPr>
        <w:keepNext/>
        <w:spacing w:before="280" w:after="80"/>
      </w:pPr>
      <w:r>
        <w:rPr>
          <w:rFonts w:ascii="Times New Roman" w:hAnsi="Times New Roman"/>
          <w:b/>
          <w:color w:val="0F172A"/>
          <w:sz w:val="26"/>
        </w:rPr>
        <w:t>Appendix A. Declarative Enterprise RBAC Ontology Specifications</w:t>
      </w:r>
    </w:p>
    <w:p>
      <w:r>
        <w:t>The following declarative Pydantic schemas specify the active session role sub-grammars compiled by O-CTD:</w:t>
      </w:r>
    </w:p>
    <w:p>
      <w:pPr>
        <w:ind w:left="288"/>
      </w:pPr>
      <w:r>
        <w:rPr>
          <w:rFonts w:ascii="Courier New" w:hAnsi="Courier New"/>
          <w:color w:val="0F172A"/>
          <w:sz w:val="17"/>
        </w:rPr>
        <w:t>from pydantic import BaseModel, Field</w:t>
        <w:br/>
        <w:t>from typing import Literal</w:t>
        <w:br/>
        <w:br/>
        <w:t>class LookupOrderStatus(BaseModel):</w:t>
        <w:br/>
        <w:t xml:space="preserve">    action_name: Literal['lookup_order_status']</w:t>
        <w:br/>
        <w:t xml:space="preserve">    order_id: str = Field(pattern=r'^ORD-[0-9]{5}$')</w:t>
        <w:br/>
        <w:br/>
        <w:t>class ProcessRefundTier1(BaseModel):</w:t>
        <w:br/>
        <w:t xml:space="preserve">    action_name: Literal['process_refund']</w:t>
        <w:br/>
        <w:t xml:space="preserve">    order_id: str = Field(pattern=r'^ORD-[0-9]{5}$')</w:t>
        <w:br/>
        <w:t xml:space="preserve">    amount_usd: float = Field(ge=0.01, le=50.00)  # Axiomatic Ceiling: C_r &lt;= $50.00</w:t>
        <w:br/>
        <w:t xml:space="preserve">    reason: str = Field(max_length=200)</w:t>
        <w:br/>
        <w:br/>
        <w:t>class CustomerSupportTier1Action(BaseModel):</w:t>
        <w:br/>
        <w:t xml:space="preserve">    action: LookupOrderStatus | ProcessRefundTier1</w:t>
        <w:br/>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Qwen Team, Qwen2.5 Technical Report, arXiv preprint arXiv:2412.15115 (2024) 1--88.</w:t>
      </w:r>
    </w:p>
    <w:p>
      <w:pPr>
        <w:spacing w:before="20" w:after="40"/>
        <w:ind w:left="432" w:hanging="432"/>
      </w:pPr>
      <w:r>
        <w:rPr>
          <w:rFonts w:ascii="Times New Roman" w:hAnsi="Times New Roman"/>
          <w:color w:val="334155"/>
          <w:sz w:val="18"/>
        </w:rPr>
        <w:t>[3] Dubey, Abhimanyu and Jauhri, Abhinav and Pandey, Abhinav and Kadian, Abhishek and Al-Dahle, Ahmad and Letman, Aiesha and Mathur, Akhil and Schelten, Alan and Yang, Amy and Fan, Angela and others, The Llama 3 Herd of Models, arXiv preprint arXiv:2407.21783 (2024) 1--92.</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National Institute of Standards and Technology, Artificial Intelligence Risk Management Framework: Generative Artificial Intelligence Profile, U.S. Department of Commerce (NIST AI 600-1) (2024) 1--72. doi:10.6028/NIST.AI.600-1.</w:t>
      </w:r>
    </w:p>
    <w:p>
      <w:pPr>
        <w:spacing w:before="20" w:after="40"/>
        <w:ind w:left="432" w:hanging="432"/>
      </w:pPr>
      <w:r>
        <w:rPr>
          <w:rFonts w:ascii="Times New Roman" w:hAnsi="Times New Roman"/>
          <w:color w:val="334155"/>
          <w:sz w:val="18"/>
        </w:rPr>
        <w:t>[7] OWASP Foundation, OWASP Top 10 for Large Language Model Applications and Generative AI, Open Web Application Security Project (Version 2.0) (2025) 1--48. URL: https://owasp.org/www-project-top-10-for-large-language-model-applications/</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 URL: https://arxiv.org/abs/2406.13314</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Wang, Zheng and Liang, Yichen and Wang, Haoyu and Kang, Daniel, Progent: Programmable Privilege Control for AI Agents, arXiv preprint arXiv:2501.08922 (2025) 1--19.</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Zhao, Yilong and Shen, Chien-Yu and Chen, Tianqi, XGrammar: Flexible and Efficient Structured Generation Engine for Large Language Models, arXiv preprint arXiv:2411.04107 (2024) 1--18.</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