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776f6daa29edcc237e4b405f7268b09c3eca1a"/>
    <w:p>
      <w:pPr>
        <w:pStyle w:val="Heading1"/>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r>
        <w:t xml:space="preserve">GitHub repository, to be made public on acceptance; available to the editor and reviewers on reasonable request</w:t>
      </w:r>
    </w:p>
    <w:bookmarkStart w:id="9" w:name="abstract"/>
    <w:p>
      <w:pPr>
        <w:pStyle w:val="Heading2"/>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intermediate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9"/>
    <w:bookmarkEnd w:id="10"/>
    <w:bookmarkStart w:id="11" w:name="introduction"/>
    <w:p>
      <w:pPr>
        <w:pStyle w:val="Heading1"/>
      </w:pPr>
      <w:r>
        <w:t xml:space="preserve">Introduction</w:t>
      </w:r>
    </w:p>
    <w:p>
      <w:pPr>
        <w:pStyle w:val="FirstParagraph"/>
      </w:pPr>
      <w:r>
        <w:t xml:space="preserve">SOC analysts face far more alerts than they can investigate, and alert fatigue is a central operational risk [1,2]. Recent work prioritises alerts by reinforcement learning or human–AI teaming [2,3], but most intrusion-detection research stops at a score judged by accuracy or ROC-AUC [4–7]. A SOC manager must instead decide, under finite analyst capacity and asymmetric error costs, which alerts to monitor, contain or escalate, a step in the data-driven transformation of security operations [8,9].</w:t>
      </w:r>
    </w:p>
    <w:p>
      <w:pPr>
        <w:pStyle w:val="BodyText"/>
      </w:pPr>
      <w:r>
        <w:t xml:space="preserve">Fuzzy and neuro-fuzzy systems suit this step because they express learned evidence in linguistic terms that operators can audit [10–12]. In intrusion detection, however, fuzzy–neural hybrids mainly raise detection rates [13–15], cost-sensitive learning targets the classifier rather than the action [16,17], and explainable AI explains scores without choosing actions [18–20]. Knowledge-based cyber-risk decision support, such as explainable knowledge-graph risk assessment [21], shows the value of explicit knowledge representations, but a score-to-action rule base for alert triage, evaluated with decision metrics, is still missing.</w:t>
      </w:r>
    </w:p>
    <w:p>
      <w:pPr>
        <w:pStyle w:val="BodyText"/>
      </w:pPr>
      <w:r>
        <w:t xml:space="preserve">This Short Communication contributes (i) a knowledge-based layer that maps neural propensity to fuzzy risk bands and then to SOC actions through a stated production-rule base (Section 2); (ii) a decision-centric evaluation with paired tests, re-runs and sensitivity sweeps (Sections 3–4); and (iii) ablations that locate the gain. Unlike gradient boosting [22], the strongest baseline, whose output still needs a threshold, the layer is detector-agnostic.</w:t>
      </w:r>
    </w:p>
    <w:bookmarkEnd w:id="11"/>
    <w:bookmarkStart w:id="18"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rules R_1–R_3. (b) Membership functions, Eqs. (2)–(4); dotted lines mark the switch points p=9/32 and 23/32 between Monitor, Soft-block and Escalate."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rules</w:t>
      </w:r>
      <w:r>
        <w:t xml:space="preserve"> </w:t>
      </w:r>
      <m:oMath>
        <m:sSub>
          <m:e>
            <m:r>
              <m:t>R</m:t>
            </m:r>
          </m:e>
          <m:sub>
            <m:r>
              <m:t>1</m:t>
            </m:r>
          </m:sub>
        </m:sSub>
      </m:oMath>
      <w:r>
        <w:t xml:space="preserve">–</w:t>
      </w:r>
      <m:oMath>
        <m:sSub>
          <m:e>
            <m:r>
              <m:t>R</m:t>
            </m:r>
          </m:e>
          <m:sub>
            <m:r>
              <m:t>3</m:t>
            </m:r>
          </m:sub>
        </m:sSub>
      </m:oMath>
      <w:r>
        <w:t xml:space="preserve">. (b) Membership functions, Eqs. (2)–(4); dotted lines mark the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between Monitor, Soft-block and Escalate.</w:t>
      </w:r>
    </w:p>
    <w:bookmarkStart w:id="15"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[23]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5"/>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[10]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Firing strengths are logged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6"/>
    <w:bookmarkStart w:id="17" w:name="cost-model-and-decision-metrics"/>
    <w:p>
      <w:pPr>
        <w:pStyle w:val="Heading2"/>
      </w:pPr>
      <w:r>
        <w:t xml:space="preserve">Cost model and decision metrics</w:t>
      </w:r>
    </w:p>
    <w:p>
      <w:pPr>
        <w:pStyle w:val="FirstParagraph"/>
      </w:pPr>
      <w:r>
        <w:t xml:space="preserve">Actions are scored with the relative cost matrix</w:t>
      </w:r>
    </w:p>
    <w:p>
      <w:pPr>
        <w:pStyle w:val="BodyText"/>
      </w:pPr>
      <w:r>
        <w:t xml:space="preserve">$$egin{aligned}
    C(\text{Monitor},y)&amp;=C_{FN}\,y, &amp; C(\text{Soft-block},y)&amp;=1+(1-y),\\
    C(\text{Escalate},y)&amp;=3+3(1-y), &amp; C_{FN}&amp;=10.
    \end{aligned}
    \qquad(6)$$</w:t>
      </w:r>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unnecessary escalations (escalated benign alerts). As a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w:t>
      </w:r>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the NSL-KDD benchmark [24]. For CPU-scale reproducibility, 40,000 training records are sampled and split 85/15 (stratified) into 34,000 for training and 6,000 for validation, with the scaler and one-hot encoder fitted on the training split only; the test set is capped at 20,000 records (attack rate 0.568). The test file contains attack types absent from training, so train/test shift is part of the task.</w:t>
      </w:r>
    </w:p>
    <w:p>
      <w:pPr>
        <w:pStyle w:val="BodyText"/>
      </w:pPr>
      <w:r>
        <w:rPr>
          <w:i/>
          <w:iCs/>
        </w:rPr>
        <w:t xml:space="preserve">Baselines.</w:t>
      </w:r>
      <w:r>
        <w:t xml:space="preserve"> </w:t>
      </w:r>
      <w:r>
        <w:t xml:space="preserve">The detectors are class-balanced logistic regression, gradient boosting [22] (scikit-learn defaults) and the MLP alone (neural ablation); the proposed system shares the MLP propensity, so its contribution must show in decisions. Decision baselines on the same scores are a Monitor/Escalate threshold at 0.5, the same threshold tuned on validation data to minimise cost, and escalation of the top 20% of scores (a fixed analyst-capacity rule). The Bayes rule, Eq. (7), is a reference, not a competitor, as it needs the cost matrix and calibrated probabilities at run time. Learned policies (e.g., reinforcement learning [3]) need interaction data and are excluded.</w:t>
      </w:r>
    </w:p>
    <w:p>
      <w:pPr>
        <w:pStyle w:val="BodyText"/>
      </w:pPr>
      <w:r>
        <w:rPr>
          <w:i/>
          <w:iCs/>
        </w:rPr>
        <w:t xml:space="preserve">Statistics.</w:t>
      </w:r>
      <w:r>
        <w:t xml:space="preserve"> </w:t>
      </w:r>
      <w:r>
        <w:t xml:space="preserve">On the seed-42 test set we report percentile 95% confidence intervals from 2,000 paired bootstrap resamples of alerts [25] and two-sided Wilcoxon signed-rank tests on per-alert cost differences [26]. The full pipeline is repeated for seeds 42–51 (paired Wilcoxon test across seeds), and</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Medium-band half-width (0.25–0.45) are swept. One deterministic script (one PyTorch thread) produces every number.</w:t>
      </w:r>
    </w:p>
    <w:bookmarkEnd w:id="19"/>
    <w:bookmarkStart w:id="23" w:name="results-and-discussion"/>
    <w:p>
      <w:pPr>
        <w:pStyle w:val="Heading1"/>
      </w:pPr>
      <w:r>
        <w:t xml:space="preserve">Results and discussion</w:t>
      </w:r>
    </w:p>
    <w:p>
      <w:pPr>
        <w:pStyle w:val="TableCaption"/>
      </w:pPr>
      <w:r>
        <w:t xml:space="preserve">Predictive performance on the NSL-KDD test sample (seed 42; last column: mean</w:t>
      </w:r>
      <w:r>
        <w:t xml:space="preserve"> </w:t>
      </w:r>
      <m:oMath>
        <m:r>
          <m:rPr>
            <m:sty m:val="p"/>
          </m:rPr>
          <m:t>±</m:t>
        </m:r>
      </m:oMath>
      <w:r>
        <w:t xml:space="preserve"> </w:t>
      </w:r>
      <w:r>
        <w:t xml:space="preserve">SD of ROC-AUC over seeds 42–51). The proposed system uses the neural propensity, so its predictive metrics are identical by construction.</w:t>
      </w:r>
    </w:p>
    <w:tbl>
      <w:tblPr>
        <w:tblStyle w:val="Table"/>
        <w:tblW w:type="pct" w:w="5000"/>
        <w:tblLayout w:type="fixed"/>
        <w:tblLook w:firstRow="1" w:lastRow="0" w:firstColumn="0" w:lastColumn="0" w:noHBand="0" w:noVBand="0" w:val="0020"/>
        <w:tblCaption w:val="Predictive performance on the NSL-KDD test sample (seed 42; last column: mean \pm SD of ROC-AUC over seeds 42–51). The proposed system uses the neural propensity,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t xml:space="preserve">Decision quality on the seed-42 test sample (</w:t>
      </w:r>
      <m:oMath>
        <m:r>
          <m:t>N</m:t>
        </m:r>
        <m:r>
          <m:rPr>
            <m:sty m:val="p"/>
          </m:rPr>
          <m:t>=</m:t>
        </m:r>
        <m:r>
          <m:t>20</m:t>
        </m:r>
        <m:r>
          <m:rPr>
            <m:sty m:val="p"/>
          </m:rPr>
          <m:t>,</m:t>
        </m:r>
        <m:r>
          <m:t>000</m:t>
        </m:r>
      </m:oMath>
      <w:r>
        <w:t xml:space="preserve">). Brackets: paired bootstrap 95% CIs;</w:t>
      </w:r>
      <w:r>
        <w:t xml:space="preserve"> </w:t>
      </w:r>
      <m:oMath>
        <m:r>
          <m:rPr>
            <m:sty m:val="p"/>
          </m:rPr>
          <m:t>Δ</m:t>
        </m:r>
        <m:acc>
          <m:accPr>
            <m:chr m:val="‾"/>
          </m:accPr>
          <m:e>
            <m:r>
              <m:t>C</m:t>
            </m:r>
          </m:e>
        </m:acc>
      </m:oMath>
      <w:r>
        <w:t xml:space="preserve">: mean cost relative to the proposed policy (positive = alternative more expensive);</w:t>
      </w:r>
      <w:r>
        <w:t xml:space="preserve"> </w:t>
      </w:r>
      <m:oMath>
        <m:r>
          <m:t>p</m:t>
        </m:r>
      </m:oMath>
      <w:r>
        <w:t xml:space="preserve">: two-sided Wilcoxon signed-rank test on per-alert costs; last column: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NN/GB = neural/gradient-boosting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Decision quality on the seed-42 test sample (N=20{,}000). Brackets: paired bootstrap 95% CIs; \Delta\bar C: mean cost relative to the proposed policy (positive = alternative more expensive); p: two-sided Wilcoxon signed-rank test on per-alert costs; last column: mean \pm SD of \bar C over seeds 42–51. UE = unnecessary escalations; NN/GB = neural/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versus threshold; horizontal lines: proposed, top-20% and Bayes-rule costs. (c) Sensitivity to the missed-attack cost C_{FN} (default 10, dotted). (d) Paired per-seed costs for seeds 42–51; black markers: mean \pm SD." title="" id="21" name="Picture"/>
            <a:graphic>
              <a:graphicData uri="http://schemas.openxmlformats.org/drawingml/2006/picture">
                <pic:pic>
                  <pic:nvPicPr>
                    <pic:cNvPr descr="figures/fig2_roc_and_cost.png" id="22" name="Picture"/>
                    <pic:cNvPicPr>
                      <a:picLocks noChangeArrowheads="1" noChangeAspect="1"/>
                    </pic:cNvPicPr>
                  </pic:nvPicPr>
                  <pic:blipFill>
                    <a:blip r:embed="rId20"/>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versus threshold; horizontal lines: proposed, top-20% and Bayes-rule costs. (c) Sensitivity to the missed-attack cost</w:t>
      </w:r>
      <w:r>
        <w:t xml:space="preserve"> </w:t>
      </w:r>
      <m:oMath>
        <m:sSub>
          <m:e>
            <m:r>
              <m:t>C</m:t>
            </m:r>
          </m:e>
          <m:sub>
            <m:r>
              <m:t>F</m:t>
            </m:r>
            <m:r>
              <m:t>N</m:t>
            </m:r>
          </m:sub>
        </m:sSub>
      </m:oMath>
      <w:r>
        <w:t xml:space="preserve"> </w:t>
      </w:r>
      <w:r>
        <w:t xml:space="preserve">(default 10, dotted). (d) Paired per-seed costs for seeds 42–51; black markers: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Gradient boosting is the best detector (Table 1, Fig. 2a), with a higher ROC-AUC than the MLP in all ten seeds; we make no detection claim. On identical neural scores, however, the rule base lowers the mean triage cost by 0.196 units per alert relative to the 0.5 threshold and by 1.242 relative to top-20% escalation (Table 2), and raises attack coverage by 0.031 (CI 0.028–0.034). The policies differ only on the 776 Medium-band alerts; a cost-tuned threshold (</w:t>
      </w:r>
      <m:oMath>
        <m:r>
          <m:t>t</m:t>
        </m:r>
        <m:r>
          <m:rPr>
            <m:sty m:val="p"/>
          </m:rPr>
          <m:t>=</m:t>
        </m:r>
        <m:r>
          <m:t>0.53</m:t>
        </m:r>
      </m:oMath>
      <w:r>
        <w:t xml:space="preserve">) does no better. It is cheaper than both crisp rules in all ten re-runs (Fig. 2d; Wilcoxon</w:t>
      </w:r>
      <w:r>
        <w:t xml:space="preserve"> </w:t>
      </w:r>
      <m:oMath>
        <m:r>
          <m:t>p</m:t>
        </m:r>
        <m:r>
          <m:rPr>
            <m:sty m:val="p"/>
          </m:rPr>
          <m:t>=</m:t>
        </m:r>
        <m:r>
          <m:t>0.002</m:t>
        </m:r>
      </m:oMath>
      <w:r>
        <w:t xml:space="preserve"> </w:t>
      </w:r>
      <w:r>
        <w:t xml:space="preserve">for both), with higher coverage than the 0.5 threshold in every seed. At</w:t>
      </w:r>
      <w:r>
        <w:t xml:space="preserve"> </w:t>
      </w:r>
      <m:oMath>
        <m:sSub>
          <m:e>
            <m:r>
              <m:t>C</m:t>
            </m:r>
          </m:e>
          <m:sub>
            <m:r>
              <m:t>F</m:t>
            </m:r>
            <m:r>
              <m:t>N</m:t>
            </m:r>
          </m:sub>
        </m:sSub>
        <m:r>
          <m:rPr>
            <m:sty m:val="p"/>
          </m:rPr>
          <m:t>=</m:t>
        </m:r>
        <m:r>
          <m:t>10</m:t>
        </m:r>
      </m:oMath>
      <w:r>
        <w:t xml:space="preserve"> </w:t>
      </w:r>
      <w:r>
        <w:t xml:space="preserve">the saving is about 3,900 cost units per 20,000 alerts,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but top-20% escalation is cheaper when missed attacks are cheap (</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Widening the Medium half-width from 0.25 to 0.45 moves the cost monotonically from 3.101 to 3.034 and coverage from 0.680 to 0.691, always beating both thresholds.</w:t>
      </w:r>
    </w:p>
    <w:p>
      <w:pPr>
        <w:pStyle w:val="BodyText"/>
      </w:pPr>
      <w:r>
        <w:rPr>
          <w:i/>
          <w:iCs/>
        </w:rPr>
        <w:t xml:space="preserve">What drives the gain (ablation).</w:t>
      </w:r>
      <w:r>
        <w:t xml:space="preserve"> </w:t>
      </w:r>
      <w:r>
        <w:t xml:space="preserve">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so the benefit comes from the intermediate Soft-block band, not from fuzziness; the memberships add graded explanations and a principled way to set the bands. The Bayes rule is much cheaper (Table 2) because soft-blocking dominates escalation under Eq. (6): it contains 43% of all traffic and never involves an analyst. Managerially, when containment is this cheap the cost matrix, not the detector, sets the action mix, so organisations must calibrate</w:t>
      </w:r>
      <w:r>
        <w:t xml:space="preserve"> </w:t>
      </w:r>
      <m:oMath>
        <m:r>
          <m:t>C</m:t>
        </m:r>
      </m:oMath>
      <w:r>
        <w:t xml:space="preserve"> </w:t>
      </w:r>
      <w:r>
        <w:t xml:space="preserve">(including disruption from false containment) before automating. A test-set threshold</w:t>
      </w:r>
      <w:r>
        <w:t xml:space="preserve"> </w:t>
      </w:r>
      <m:oMath>
        <m:r>
          <m:rPr>
            <m:sty m:val="p"/>
          </m:rPr>
          <m:t>≤</m:t>
        </m:r>
        <m:r>
          <m:t>0.10</m:t>
        </m:r>
      </m:oMath>
      <w:r>
        <w:t xml:space="preserve"> </w:t>
      </w:r>
      <w:r>
        <w:t xml:space="preserve">would also beat the rule base (Fig. 2b; minimum 2.929 at</w:t>
      </w:r>
      <w:r>
        <w:t xml:space="preserve"> </w:t>
      </w:r>
      <m:oMath>
        <m:r>
          <m:t>t</m:t>
        </m:r>
        <m:r>
          <m:rPr>
            <m:sty m:val="p"/>
          </m:rPr>
          <m:t>=</m:t>
        </m:r>
        <m:r>
          <m:t>0.01</m:t>
        </m:r>
      </m:oMath>
      <w:r>
        <w:t xml:space="preserve">); validation tuning cannot find it under the train/test shift, but band positions clearly matter.</w:t>
      </w:r>
    </w:p>
    <w:p>
      <w:pPr>
        <w:pStyle w:val="BodyText"/>
      </w:pPr>
      <w:r>
        <w:rPr>
          <w:i/>
          <w:iCs/>
        </w:rPr>
        <w:t xml:space="preserve">Detector-agnostic use and explainability.</w:t>
      </w:r>
      <w:r>
        <w:t xml:space="preserve"> </w:t>
      </w:r>
      <w:r>
        <w:t xml:space="preserve">On gradient-boosting scores the unchanged rules lower the cost further and cut unnecessary escalations from 603 to 222 (Table 2), so the layer complements a stronger detector. Named rules and firing strengths, not post-hoc attribution [18,19], explain each action, supporting audit trails and human–AI teaming [2].</w:t>
      </w:r>
    </w:p>
    <w:bookmarkEnd w:id="23"/>
    <w:bookmarkStart w:id="24" w:name="limitations"/>
    <w:p>
      <w:pPr>
        <w:pStyle w:val="Heading1"/>
      </w:pPr>
      <w:r>
        <w:t xml:space="preserve">Limitations</w:t>
      </w:r>
    </w:p>
    <w:p>
      <w:pPr>
        <w:pStyle w:val="FirstParagraph"/>
      </w:pPr>
      <w:r>
        <w:rPr>
          <w:i/>
          <w:iCs/>
        </w:rPr>
        <w:t xml:space="preserve">Failure modes.</w:t>
      </w:r>
      <w:r>
        <w:t xml:space="preserve"> </w:t>
      </w:r>
      <w:r>
        <w:t xml:space="preserve">Beyond the low-</w:t>
      </w:r>
      <m:oMath>
        <m:sSub>
          <m:e>
            <m:r>
              <m:t>C</m:t>
            </m:r>
          </m:e>
          <m:sub>
            <m:r>
              <m:t>F</m:t>
            </m:r>
            <m:r>
              <m:t>N</m:t>
            </m:r>
          </m:sub>
        </m:sSub>
      </m:oMath>
      <w:r>
        <w:t xml:space="preserve"> </w:t>
      </w:r>
      <w:r>
        <w:t xml:space="preserve">case, seed 48 is the weakest replicate (cost 3.282, coverage 0.626): its MLP has a typical ROC-AUC (0.900) but the lowest accuracy at 0.5 (0.757), so fixed band positions are sensitive to the score distribution, not only to ranking. The rule base is also not cost-optimal under its own matrix (the Bayes gap); adaptive (e.g., ANFIS-style [11]) or cost-derived band positions are the next step. The bands were set by expert judgement, not on test data.</w:t>
      </w:r>
    </w:p>
    <w:p>
      <w:pPr>
        <w:pStyle w:val="BodyText"/>
      </w:pPr>
      <w:r>
        <w:rPr>
          <w:i/>
          <w:iCs/>
        </w:rPr>
        <w:t xml:space="preserve">Data and scope.</w:t>
      </w:r>
      <w:r>
        <w:t xml:space="preserve"> </w:t>
      </w:r>
      <w:r>
        <w:t xml:space="preserve">NSL-KDD (2009) is a dated laboratory benchmark that does not reflect modern enterprise, cloud or IoT traffic [27,28]. The data were subsampled, under a single train/test protocol. The cost matrix is illustrative, not elicited from a SOC; coverage counts containment as covering an attack; and there was no live deployment, drift analysis or user study.</w:t>
      </w:r>
    </w:p>
    <w:bookmarkEnd w:id="24"/>
    <w:bookmarkStart w:id="25" w:name="conclusion"/>
    <w:p>
      <w:pPr>
        <w:pStyle w:val="Heading1"/>
      </w:pPr>
      <w:r>
        <w:t xml:space="preserve">Conclusion</w:t>
      </w:r>
    </w:p>
    <w:p>
      <w:pPr>
        <w:pStyle w:val="FirstParagraph"/>
      </w:pPr>
      <w:r>
        <w:t xml:space="preserve">Treating alert triage as a knowledge-based decision problem, a fuzzy–neural rule layer beat crisp threshold and capacity rules on NSL-KDD in cost and coverage; the gain comes from the containment band, and a cost-derived Bayes rule is cheaper still. SOC managers should judge detectors by the decisions they enable and make rules and cost assumptions explicit. Future work will elicit practitioner costs and use recent, live alert data.</w:t>
      </w:r>
    </w:p>
    <w:bookmarkEnd w:id="25"/>
    <w:bookmarkStart w:id="26" w:name="data-availability"/>
    <w:p>
      <w:pPr>
        <w:pStyle w:val="Heading1"/>
      </w:pPr>
      <w:r>
        <w:t xml:space="preserve">Data availability</w:t>
      </w:r>
    </w:p>
    <w:p>
      <w:pPr>
        <w:pStyle w:val="FirstParagraph"/>
      </w:pPr>
      <w:r>
        <w:t xml:space="preserve">The NSL-KDD dataset is publicly available from the Canadian Institute for Cybersecurity, University of New Brunswick [24]. The code and results (experiment script, result tables in CSV/JSON and figure-generation code) are held in a GitHub repository that will be made public on acceptance; until then they are available to the editor and reviewers on reasonable request.</w:t>
      </w:r>
    </w:p>
    <w:bookmarkEnd w:id="26"/>
    <w:bookmarkStart w:id="27"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8"/>
    <w:bookmarkStart w:id="2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9"/>
    <w:bookmarkStart w:id="30"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0"/>
    <w:bookmarkStart w:id="31" w:name="references"/>
    <w:p>
      <w:pPr>
        <w:pStyle w:val="Heading1"/>
      </w:pPr>
      <w:r>
        <w:t xml:space="preserve">References</w:t>
      </w:r>
    </w:p>
    <w:p>
      <w:pPr>
        <w:pStyle w:val="FirstParagraph"/>
      </w:pPr>
      <w:r>
        <w:t xml:space="preserve">[1] S. Tariq, M. Baruwal Chhetri, S. Nepal, C. Paris, Alert fatigue in security operations centres: Research challenges and opportunities, ACM Computing Surveys 57 (2025) 1–38. https://doi.org/10.1145/3723158.</w:t>
      </w:r>
    </w:p>
    <w:p>
      <w:pPr>
        <w:pStyle w:val="BodyText"/>
      </w:pPr>
      <w:r>
        <w:t xml:space="preserve">[2] M. Baruwal Chhetri, S. Tariq, R. Singh, F. Jalalvand, C. Paris, S. Nepal, Towards human–AI teaming to mitigate alert fatigue in security operations centres, ACM Transactions on Internet Technology 24 (2024) 1–22. https://doi.org/10.1145/3670009.</w:t>
      </w:r>
    </w:p>
    <w:p>
      <w:pPr>
        <w:pStyle w:val="BodyText"/>
      </w:pPr>
      <w:r>
        <w:t xml:space="preserve">[3] X. Wang, X. Yang, X. Liang, X. Zhang, W. Zhang, X. Gong, Combating alert fatigue with AlertPro: Context-aware alert prioritization using reinforcement learning for multi-step attack detection, Computers &amp; Security 137 (2024) 103583. https://doi.org/10.1016/j.cose.2023.103583.</w:t>
      </w:r>
    </w:p>
    <w:p>
      <w:pPr>
        <w:pStyle w:val="BodyText"/>
      </w:pPr>
      <w:r>
        <w:t xml:space="preserve">[4] A.L. Buczak, E. Guven, A survey of data mining and machine learning methods for cyber security intrusion detection, IEEE Communications Surveys &amp; Tutorials 18 (2016) 1153–1176. https://doi.org/10.1109/COMST.2015.2494502.</w:t>
      </w:r>
    </w:p>
    <w:p>
      <w:pPr>
        <w:pStyle w:val="BodyText"/>
      </w:pPr>
      <w:r>
        <w:t xml:space="preserve">[5] A. Khraisat, I. Gondal, P. Vamplew, J. Kamruzzaman, Survey of intrusion detection systems: Techniques, datasets and challenges, Cybersecurity 2 (2019) 20. https://doi.org/10.1186/s42400-019-0038-7.</w:t>
      </w:r>
    </w:p>
    <w:p>
      <w:pPr>
        <w:pStyle w:val="BodyText"/>
      </w:pPr>
      <w:r>
        <w:t xml:space="preserve">[6] T. Su, H. Sun, J. Zhu, S. Wang, Y. Li, BAT: Deep learning methods on network intrusion detection using NSL-KDD dataset, IEEE Access 8 (2020) 29575–29585. https://doi.org/10.1109/ACCESS.2020.2972627.</w:t>
      </w:r>
    </w:p>
    <w:p>
      <w:pPr>
        <w:pStyle w:val="BodyText"/>
      </w:pPr>
      <w:r>
        <w:t xml:space="preserve">[7] N. Sun, J. Zhang, P. Rimba, S. Gao, L.Y. Zhang, Y. Xiang, Data-driven cybersecurity incident prediction: A survey, IEEE Communications Surveys &amp; Tutorials 21 (2019) 1744–1772. https://doi.org/10.1109/COMST.2018.2885561.</w:t>
      </w:r>
    </w:p>
    <w:p>
      <w:pPr>
        <w:pStyle w:val="BodyText"/>
      </w:pPr>
      <w:r>
        <w:t xml:space="preserve">[8] G. Vial, Understanding digital transformation: A review and a research agenda, The Journal of Strategic Information Systems 28 (2019) 118–144. https://doi.org/10.1016/j.jsis.2019.01.003.</w:t>
      </w:r>
    </w:p>
    <w:p>
      <w:pPr>
        <w:pStyle w:val="BodyText"/>
      </w:pPr>
      <w:r>
        <w:t xml:space="preserve">[9] F. Provost, T. Fawcett, Data science and its relationship to big data and data-driven decision making, Big Data 1 (2013) 51–59. https://doi.org/10.1089/big.2013.1508.</w:t>
      </w:r>
    </w:p>
    <w:p>
      <w:pPr>
        <w:pStyle w:val="BodyText"/>
      </w:pPr>
      <w:r>
        <w:t xml:space="preserve">[10] L.A. Zadeh, Fuzzy sets, Information and Control 8 (1965) 338–353. https://doi.org/10.1016/S0019-9958(65)90241-X90241-X).</w:t>
      </w:r>
    </w:p>
    <w:p>
      <w:pPr>
        <w:pStyle w:val="BodyText"/>
      </w:pPr>
      <w:r>
        <w:t xml:space="preserve">[11] J.-S.R. Jang, ANFIS: Adaptive-network-based fuzzy inference system, IEEE Transactions on Systems, Man, and Cybernetics 23 (1993) 665–685. https://doi.org/10.1109/21.256541.</w:t>
      </w:r>
    </w:p>
    <w:p>
      <w:pPr>
        <w:pStyle w:val="BodyText"/>
      </w:pPr>
      <w:r>
        <w:t xml:space="preserve">[12] P.V. de Campos Souza, Fuzzy neural networks and neuro-fuzzy networks: A review the main techniques and applications used in the literature, Applied Soft Computing 92 (2020) 106275. https://doi.org/10.1016/j.asoc.2020.106275.</w:t>
      </w:r>
    </w:p>
    <w:p>
      <w:pPr>
        <w:pStyle w:val="BodyText"/>
      </w:pPr>
      <w:r>
        <w:t xml:space="preserve">[13] D. Srilatha, G.K. Shyam, Cloud-based intrusion detection using kernel fuzzy clustering and optimal type-2 fuzzy neural network, Cluster Computing 24 (2021) 2657–2672. https://doi.org/10.1007/s10586-021-03281-9.</w:t>
      </w:r>
    </w:p>
    <w:p>
      <w:pPr>
        <w:pStyle w:val="BodyText"/>
      </w:pPr>
      <w:r>
        <w:t xml:space="preserve">[14] J. Liu, W. Yinchai, T.C. Siong, X. Li, L. Zhao, F. Wei, On the combination of adaptive neuro-fuzzy inference system and deep residual network for improving detection rates on intrusion detection, PLOS ONE 17 (2022) e0278819. https://doi.org/10.1371/journal.pone.0278819.</w:t>
      </w:r>
    </w:p>
    <w:p>
      <w:pPr>
        <w:pStyle w:val="BodyText"/>
      </w:pPr>
      <w:r>
        <w:t xml:space="preserve">[15] J. Liu, W. Yinchai, T.C. Siong, X. Li, L. Zhao, F. Wei, A hybrid interpretable deep structure based on adaptive neuro-fuzzy inference system, decision tree, and K-means for intrusion detection, Scientific Reports 12 (2022) 20770. https://doi.org/10.1038/s41598-022-23765-x.</w:t>
      </w:r>
    </w:p>
    <w:p>
      <w:pPr>
        <w:pStyle w:val="BodyText"/>
      </w:pPr>
      <w:r>
        <w:t xml:space="preserve">[16] C. Elkan, The foundations of cost-sensitive learning, in: Proceedings of the 17th International Joint Conference on Artificial Intelligence (IJCAI), 2001: pp. 973–978.</w:t>
      </w:r>
    </w:p>
    <w:p>
      <w:pPr>
        <w:pStyle w:val="BodyText"/>
      </w:pPr>
      <w:r>
        <w:t xml:space="preserve">[17] A. Telikani, N.E. Rudbardeh, S. Soleymanpour, A. Shahbahrami, J. Shen, G. Gaydadjiev, R. Hassanpour, A cost-sensitive machine learning model with multitask learning for intrusion detection in IoT, IEEE Transactions on Industrial Informatics 20 (2024) 3880–3890. https://doi.org/10.1109/TII.2023.3314208.</w:t>
      </w:r>
    </w:p>
    <w:p>
      <w:pPr>
        <w:pStyle w:val="BodyText"/>
      </w:pPr>
      <w:r>
        <w:t xml:space="preserve">[18] S.M. Lundberg, S.-I. Lee, A unified approach to interpreting model predictions, Advances in Neural Information Processing Systems 30 (2017). https://doi.org/10.48550/arXiv.1705.07874.</w:t>
      </w:r>
    </w:p>
    <w:p>
      <w:pPr>
        <w:pStyle w:val="BodyText"/>
      </w:pPr>
      <w:r>
        <w:t xml:space="preserve">[19] V.Z. Mohale, I.C. Obagbuwa, A systematic review on the integration of explainable artificial intelligence in intrusion detection systems to enhancing transparency and interpretability in cybersecurity, Frontiers in Artificial Intelligence 8 (2025) 1526221. https://doi.org/10.3389/frai.2025.1526221.</w:t>
      </w:r>
    </w:p>
    <w:p>
      <w:pPr>
        <w:pStyle w:val="BodyText"/>
      </w:pPr>
      <w:r>
        <w:t xml:space="preserve">[20] S. AL, S. Sagiroglu, Explainable artificial intelligence models in intrusion detection systems, Engineering Applications of Artificial Intelligence 144 (2025) 110145. https://doi.org/10.1016/j.engappai.2025.110145.</w:t>
      </w:r>
    </w:p>
    <w:p>
      <w:pPr>
        <w:pStyle w:val="BodyText"/>
      </w:pPr>
      <w:r>
        <w:t xml:space="preserve">[21] S. Bag, S. Sarkar, I. Bose, Enhancing cybersecurity risk assessment using temporal knowledge graph-based explainable decision support system, Decision Support Systems 198 (2025) 114526. https://doi.org/10.1016/j.dss.2025.114526.</w:t>
      </w:r>
    </w:p>
    <w:p>
      <w:pPr>
        <w:pStyle w:val="BodyText"/>
      </w:pPr>
      <w:r>
        <w:t xml:space="preserve">[22] J.H. Friedman, Greedy function approximation: A gradient boosting machine, The Annals of Statistics 29 (2001) 1189–1232. https://doi.org/10.1214/aos/1013203451.</w:t>
      </w:r>
    </w:p>
    <w:p>
      <w:pPr>
        <w:pStyle w:val="BodyText"/>
      </w:pPr>
      <w:r>
        <w:t xml:space="preserve">[23] I. Goodfellow, Y. Bengio, A. Courville, Deep learning, MIT Press, Cambridge, MA, 2016.</w:t>
      </w:r>
    </w:p>
    <w:p>
      <w:pPr>
        <w:pStyle w:val="BodyText"/>
      </w:pPr>
      <w:r>
        <w:t xml:space="preserve">[24] M. Tavallaee, E. Bagheri, W. Lu, A.A. Ghorbani, A detailed analysis of the KDD CUP 99 data set, in: Proceedings of the 2009 IEEE Symposium on Computational Intelligence for Security and Defense Applications (CISDA), 2009: pp. 1–6. https://doi.org/10.1109/CISDA.2009.5356528.</w:t>
      </w:r>
    </w:p>
    <w:p>
      <w:pPr>
        <w:pStyle w:val="BodyText"/>
      </w:pPr>
      <w:r>
        <w:t xml:space="preserve">[25] B. Efron, R.J. Tibshirani, An introduction to the bootstrap, Chapman &amp; Hall/CRC, New York, 1994. https://doi.org/10.1201/9780429246593.</w:t>
      </w:r>
    </w:p>
    <w:p>
      <w:pPr>
        <w:pStyle w:val="BodyText"/>
      </w:pPr>
      <w:r>
        <w:t xml:space="preserve">[26] F. Wilcoxon, Individual comparisons by ranking methods, Biometrics Bulletin 1 (1945) 80–83. https://doi.org/10.2307/3001968.</w:t>
      </w:r>
    </w:p>
    <w:p>
      <w:pPr>
        <w:pStyle w:val="BodyText"/>
      </w:pPr>
      <w:r>
        <w:t xml:space="preserve">[27] M. Ring, S. Wunderlich, D. Scheuring, D. Landes, A. Hotho, A survey of network-based intrusion detection data sets, Computers &amp; Security 86 (2019) 147–167. https://doi.org/10.1016/j.cose.2019.06.005.</w:t>
      </w:r>
    </w:p>
    <w:p>
      <w:pPr>
        <w:pStyle w:val="BodyText"/>
      </w:pPr>
      <w:r>
        <w:t xml:space="preserve">[28] M.A. Al-Garadi, A. Mohamed, A.K. Al-Ali, X. Du, I. Ali, M. Guizani, A survey of machine and deep learning methods for Internet of Things (IoT) security, IEEE Communications Surveys &amp; Tutorials 22 (2020) 1646–1685. https://doi.org/10.1109/COMST.2020.2988293.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2026-10-23T07:21:03Z</dcterms:created>
  <dcterms:modified xsi:type="dcterms:W3CDTF">2026-10-23T07:21:03Z</dcterms:modified>
</cp:coreProperties>
</file>

<file path=docProps/custom.xml><?xml version="1.0" encoding="utf-8"?>
<Properties xmlns="http://schemas.openxmlformats.org/officeDocument/2006/custom-properties" xmlns:vt="http://schemas.openxmlformats.org/officeDocument/2006/docPropsVTypes"/>
</file>