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FirstParagraph"/>
      </w:pPr>
      <w:r>
        <w:rPr>
          <w:b/>
          <w:bCs/>
        </w:rPr>
        <w:t xml:space="preserve">Article type:</w:t>
      </w:r>
      <w:r>
        <w:t xml:space="preserve"> </w:t>
      </w:r>
      <w:r>
        <w:t xml:space="preserve">Short Communication —</w:t>
      </w:r>
      <w:r>
        <w:t xml:space="preserve"> </w:t>
      </w:r>
      <w:r>
        <w:rPr>
          <w:i/>
          <w:iCs/>
        </w:rPr>
        <w:t xml:space="preserve">Knowledge-Based Systems</w:t>
      </w:r>
      <w:r>
        <w:t xml:space="preserve"> </w:t>
      </w:r>
      <w:r>
        <w:t xml:space="preserve">(Elsevier)</w:t>
      </w:r>
      <w:r>
        <w:br/>
      </w:r>
      <w:r>
        <w:rPr>
          <w:b/>
          <w:bCs/>
        </w:rPr>
        <w:t xml:space="preserve">Author:</w:t>
      </w:r>
      <w:r>
        <w:t xml:space="preserve"> </w:t>
      </w:r>
      <w:r>
        <w:t xml:space="preserve">Sai Nithin Erigineni, DBA, Midwest University, 851 Parr Rd, Wentzville, MO 63385, United States (corresponding author: serigineni@midwest.edu)</w:t>
      </w:r>
      <w:r>
        <w:br/>
      </w:r>
      <w:r>
        <w:rPr>
          <w:b/>
          <w:bCs/>
        </w:rPr>
        <w:t xml:space="preserve">Code and results:</w:t>
      </w:r>
      <w:r>
        <w:t xml:space="preserve"> </w:t>
      </w:r>
      <w:r>
        <w:t xml:space="preserve">GitHub repository, to be made public on acceptance; available to the editor and reviewers on reasonable request</w:t>
      </w:r>
    </w:p>
    <w:bookmarkStart w:id="9" w:name="abstract"/>
    <w:p>
      <w:pPr>
        <w:pStyle w:val="Heading1"/>
      </w:pPr>
      <w:r>
        <w:t xml:space="preserve">Abstract</w:t>
      </w:r>
    </w:p>
    <w:p>
      <w:pPr>
        <w:pStyle w:val="FirstParagraph"/>
      </w:pPr>
      <w:r>
        <w:t xml:space="preserve">Security operations centres (SOCs) receive risk scores from machine-learning detectors, yet the step from score to action is usually a single hand-set threshold. This Short Communication treats cyber alert triage as a knowledge-based decision problem. A multilayer perceptron estimates attack propensity; triangular fuzzy membership functions map it to Low, Medium and High risk bands; and a three-rule production base assigns Monitor, Soft-block or Escalate, scored under an explicit relative cost matrix. On the NSL-KDD benchmark (seed 42; 20,000 test alerts), gradient boosting remains the strongest detector (ROC-AUC 0.947 versus 0.908 for the neural model). The fuzzy rule layer lowers the mean triage cost to 3.068 [95% bootstrap CI 3.016–3.118], against 3.264 for a 0.5 threshold and 4.309 for a top-20% escalation rule, and raises attack coverage from 0.655 to 0.686 (paired Wilcoxon</w:t>
      </w:r>
      <w:r>
        <w:t xml:space="preserve"> </w:t>
      </w:r>
      <m:oMath>
        <m:r>
          <m:t>p</m:t>
        </m:r>
        <m:r>
          <m:rPr>
            <m:sty m:val="p"/>
          </m:rPr>
          <m:t>&lt;</m:t>
        </m:r>
        <m:sSup>
          <m:e>
            <m:r>
              <m:t>10</m:t>
            </m:r>
          </m:e>
          <m:sup>
            <m:r>
              <m:rPr>
                <m:sty m:val="p"/>
              </m:rPr>
              <m:t>−</m:t>
            </m:r>
            <m:r>
              <m:t>100</m:t>
            </m:r>
          </m:sup>
        </m:sSup>
      </m:oMath>
      <w:r>
        <w:t xml:space="preserve">). It is cheaper than both crisp rules in all ten repeated runs (</w:t>
      </w:r>
      <m:oMath>
        <m:r>
          <m:t>p</m:t>
        </m:r>
        <m:r>
          <m:rPr>
            <m:sty m:val="p"/>
          </m:rPr>
          <m:t>=</m:t>
        </m:r>
        <m:r>
          <m:t>0.002</m:t>
        </m:r>
      </m:oMath>
      <w:r>
        <w:t xml:space="preserve">) and at every missed-attack cost from 2 to 30, except that top-20% escalation is cheaper when missed attacks cost 2–3 units. Ablations bound the claim. The gain comes from the intermediate Soft-block band, which is decision-equivalent to 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and a Bayes rule that uses the cost matrix directly is cheaper still (2.164). The contribution is therefore an interpretable, auditable decision layer and a decision-centric evaluation protocol, not a new detector.</w:t>
      </w:r>
    </w:p>
    <w:p>
      <w:pPr>
        <w:pStyle w:val="BodyText"/>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Introduction</w:t>
      </w:r>
    </w:p>
    <w:p>
      <w:pPr>
        <w:pStyle w:val="FirstParagraph"/>
      </w:pPr>
      <w:r>
        <w:t xml:space="preserve">SOC analysts face far more alerts than they can investigate, and alert fatigue is a central operational risk [1,2]. Recent work prioritises alerts by reinforcement learning or human–AI teaming [2,3], but most intrusion-detection research stops at a score judged by accuracy or ROC-AUC [4–7]. A SOC manager must instead decide, under finite analyst capacity and asymmetric error costs, which alerts to monitor, contain or escalate, a step in the data-driven transformation of security operations [8,9].</w:t>
      </w:r>
    </w:p>
    <w:p>
      <w:pPr>
        <w:pStyle w:val="BodyText"/>
      </w:pPr>
      <w:r>
        <w:t xml:space="preserve">Fuzzy and neuro-fuzzy systems suit this step because they express learned evidence in linguistic terms that operators can audit [10–12]. In intrusion detection, however, fuzzy–neural hybrids mainly raise detection rates [13–15], cost-sensitive learning targets the classifier rather than the action [16,17], and explainable AI explains scores without choosing actions [18–20]. Knowledge-based cyber-risk decision support, such as explainable knowledge-graph risk assessment [21], shows the value of explicit knowledge representations, but a score-to-action rule base for alert triage, evaluated with decision metrics, is still missing.</w:t>
      </w:r>
    </w:p>
    <w:p>
      <w:pPr>
        <w:pStyle w:val="BodyText"/>
      </w:pPr>
      <w:r>
        <w:t xml:space="preserve">This Short Communication contributes (i) a knowledge-based layer that maps neural propensity to fuzzy risk bands and then to SOC actions through a stated production-rule base (Section 2); (ii) a decision-centric evaluation with paired tests, re-runs and sensitivity sweeps (Sections 3–4); and (iii) ablations that locate the gain. Unlike gradient boosting [22], the strongest baseline, whose output still needs a threshold, the layer is detector-agnostic.</w:t>
      </w:r>
    </w:p>
    <w:bookmarkEnd w:id="10"/>
    <w:bookmarkStart w:id="17" w:name="proposed-fuzzyneural-decision-framework"/>
    <w:p>
      <w:pPr>
        <w:pStyle w:val="Heading1"/>
      </w:pPr>
      <w:r>
        <w:t xml:space="preserve">Proposed fuzzy–neural decision framework</w:t>
      </w:r>
    </w:p>
    <w:p>
      <w:pPr>
        <w:pStyle w:val="CaptionedFigure"/>
      </w:pPr>
      <w:r>
        <w:drawing>
          <wp:inline>
            <wp:extent cx="5334000" cy="3517518"/>
            <wp:effectExtent b="0" l="0" r="0" t="0"/>
            <wp:docPr descr="Fig. 1. Proposed framework. (a) Pipeline from alert features to neural propensity, fuzzy risk bands and rules R_1–R_3. (b) Membership functions, Eqs. (2)–(4); dotted lines mark the switch points p=9/32 and 23/32 between Monitor, Soft-block and Escalate."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3517518"/>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Proposed framework. (a) Pipeline from alert features to neural propensity, fuzzy risk bands and rules</w:t>
      </w:r>
      <w:r>
        <w:t xml:space="preserve"> </w:t>
      </w:r>
      <m:oMath>
        <m:sSub>
          <m:e>
            <m:r>
              <m:t>R</m:t>
            </m:r>
          </m:e>
          <m:sub>
            <m:r>
              <m:t>1</m:t>
            </m:r>
          </m:sub>
        </m:sSub>
      </m:oMath>
      <w:r>
        <w:t xml:space="preserve">–</w:t>
      </w:r>
      <m:oMath>
        <m:sSub>
          <m:e>
            <m:r>
              <m:t>R</m:t>
            </m:r>
          </m:e>
          <m:sub>
            <m:r>
              <m:t>3</m:t>
            </m:r>
          </m:sub>
        </m:sSub>
      </m:oMath>
      <w:r>
        <w:t xml:space="preserve">. (b) Membership functions, Eqs. (2)–(4); dotted lines mark the switch points</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between Monitor, Soft-block and Escalate.</w:t>
      </w:r>
    </w:p>
    <w:bookmarkStart w:id="14" w:name="neural-propensity-model"/>
    <w:p>
      <w:pPr>
        <w:pStyle w:val="Heading2"/>
      </w:pPr>
      <w:r>
        <w:t xml:space="preserve">Neural propensity model</w:t>
      </w:r>
    </w:p>
    <w:p>
      <w:pPr>
        <w:pStyle w:val="FirstParagraph"/>
      </w:pPr>
      <w:r>
        <w:t xml:space="preserve">Each alert</w:t>
      </w:r>
      <w:r>
        <w:t xml:space="preserve"> </w:t>
      </w:r>
      <m:oMath>
        <m:r>
          <m:t>i</m:t>
        </m:r>
      </m:oMath>
      <w:r>
        <w:t xml:space="preserve"> </w:t>
      </w:r>
      <w:r>
        <w:t xml:space="preserve">has features</w:t>
      </w:r>
      <w:r>
        <w:t xml:space="preserve"> </w:t>
      </w:r>
      <m:oMath>
        <m:sSub>
          <m:e>
            <m:r>
              <m:t>x</m:t>
            </m:r>
          </m:e>
          <m:sub>
            <m:r>
              <m:t>i</m:t>
            </m:r>
          </m:sub>
        </m:sSub>
      </m:oMath>
      <w:r>
        <w:t xml:space="preserve"> </w:t>
      </w:r>
      <w:r>
        <w:t xml:space="preserve">(38 numeric NSL-KDD fields standardised; protocol, service and flag one-hot encoded) and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(normal, attack). A multilayer perceptron</w:t>
      </w:r>
      <w:r>
        <w:t xml:space="preserve"> </w:t>
      </w:r>
      <m:oMath>
        <m:sSub>
          <m:e>
            <m:r>
              <m:t>g</m:t>
            </m:r>
          </m:e>
          <m:sub>
            <m:r>
              <m:t>θ</m:t>
            </m:r>
          </m:sub>
        </m:sSub>
      </m:oMath>
      <w:r>
        <w:t xml:space="preserve"> </w:t>
      </w:r>
      <w:r>
        <w:t xml:space="preserve">with ReLU layers of width 128 and 64, dropout 0.2 and one logit output [23] gives the attack propensity</w:t>
      </w:r>
    </w:p>
    <w:p>
      <w:pPr>
        <w:pStyle w:val="BodyText"/>
      </w:pPr>
      <m:oMathPara>
        <m:oMathParaPr>
          <m:jc m:val="center"/>
        </m:oMathParaPr>
        <m:oMath>
          <m:eqArr>
            <m:e>
              <m:sSub>
                <m:e>
                  <m:r>
                    <m:t>p</m:t>
                  </m:r>
                </m:e>
                <m:sub>
                  <m:r>
                    <m:t>i</m:t>
                  </m:r>
                </m:sub>
              </m:sSub>
              <m:r>
                <m:t>&amp;</m:t>
              </m:r>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e>
              <m:r>
                <m:rPr>
                  <m:scr m:val="script"/>
                  <m:sty m:val="p"/>
                </m:rPr>
                <m:t>L</m:t>
              </m:r>
              <m:r>
                <m:rPr>
                  <m:sty m:val="p"/>
                </m:rPr>
                <m:t>(</m:t>
              </m:r>
              <m:r>
                <m:t>θ</m:t>
              </m:r>
              <m:r>
                <m:rPr>
                  <m:sty m:val="p"/>
                </m:rPr>
                <m:t>)</m:t>
              </m:r>
              <m:r>
                <m:t>&amp;</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sty m:val="p"/>
                    </m:rPr>
                    <m:t>+</m:t>
                  </m:r>
                </m:sub>
              </m:sSub>
              <m:r>
                <m:rPr>
                  <m:sty m:val="p"/>
                </m:rPr>
                <m:t>=</m:t>
              </m:r>
              <m:f>
                <m:fPr>
                  <m:type m:val="bar"/>
                </m:fPr>
                <m:num>
                  <m:sSub>
                    <m:e>
                      <m:r>
                        <m:t>N</m:t>
                      </m:r>
                    </m:e>
                    <m:sub>
                      <m:r>
                        <m:rPr>
                          <m:sty m:val="p"/>
                        </m:rPr>
                        <m:t>−</m:t>
                      </m:r>
                    </m:sub>
                  </m:sSub>
                </m:num>
                <m:den>
                  <m:sSub>
                    <m:e>
                      <m:r>
                        <m:t>N</m:t>
                      </m:r>
                    </m:e>
                    <m:sub>
                      <m:r>
                        <m:rPr>
                          <m:sty m:val="p"/>
                        </m:rPr>
                        <m:t>+</m:t>
                      </m:r>
                    </m:sub>
                  </m:sSub>
                </m:den>
              </m:f>
              <m:r>
                <m:rPr>
                  <m:sty m:val="p"/>
                </m:rPr>
                <m:t>,</m:t>
              </m:r>
            </m:e>
          </m:eqArr>
          <m:r>
            <m:t>  </m:t>
          </m:r>
          <m:r>
            <m:rPr>
              <m:sty m:val="p"/>
            </m:rPr>
            <m:t>(</m:t>
          </m:r>
          <m:r>
            <m:t>1</m:t>
          </m:r>
          <m:r>
            <m:rPr>
              <m:sty m:val="p"/>
            </m:rPr>
            <m:t>)</m:t>
          </m:r>
        </m:oMath>
      </m:oMathPara>
    </w:p>
    <w:p>
      <w:pPr>
        <w:pStyle w:val="FirstParagraph"/>
      </w:pPr>
      <w:r>
        <w:t xml:space="preserve">trained with Adam (learning rate</w:t>
      </w:r>
      <w:r>
        <w:t xml:space="preserve"> </w:t>
      </w:r>
      <m:oMath>
        <m:sSup>
          <m:e>
            <m:r>
              <m:t>10</m:t>
            </m:r>
          </m:e>
          <m:sup>
            <m:r>
              <m:rPr>
                <m:sty m:val="p"/>
              </m:rPr>
              <m:t>−</m:t>
            </m:r>
            <m:r>
              <m:t>3</m:t>
            </m:r>
          </m:sup>
        </m:sSup>
      </m:oMath>
      <w:r>
        <w:t xml:space="preserve">, batch 512, 20 epochs), keeping the epoch with the best validation ROC-AUC.</w:t>
      </w:r>
    </w:p>
    <w:bookmarkEnd w:id="14"/>
    <w:bookmarkStart w:id="15" w:name="Xa12c8d55717e251e3186c98c25cee8834d32cb3"/>
    <w:p>
      <w:pPr>
        <w:pStyle w:val="Heading2"/>
      </w:pPr>
      <w:r>
        <w:t xml:space="preserve">Fuzzy risk bands and production-rule base</w:t>
      </w:r>
    </w:p>
    <w:p>
      <w:pPr>
        <w:pStyle w:val="FirstParagraph"/>
      </w:pPr>
      <w:r>
        <w:t xml:space="preserve">Propensity is mapped to three linguistic risk bands [10] with shoulder and triangular membership functions, using</w:t>
      </w:r>
      <w:r>
        <w:t xml:space="preserve"> </w:t>
      </w:r>
      <m:oMath>
        <m:r>
          <m:rPr>
            <m:sty m:val="p"/>
          </m:rPr>
          <m:t>[</m:t>
        </m:r>
        <m:r>
          <m:t>z</m:t>
        </m:r>
        <m:sSubSup>
          <m:e>
            <m:r>
              <m:rPr>
                <m:sty m:val="p"/>
              </m:rPr>
              <m:t>]</m:t>
            </m:r>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w:t>
      </w:r>
    </w:p>
    <w:p>
      <w:pPr>
        <w:pStyle w:val="BodyText"/>
      </w:pPr>
      <m:oMathPara>
        <m:oMathParaPr>
          <m:jc m:val="center"/>
        </m:oMathParaPr>
        <m:oMath>
          <m:eqArr>
            <m:e>
              <m:sSub>
                <m:e>
                  <m:r>
                    <m:t>μ</m:t>
                  </m:r>
                </m:e>
                <m:sub>
                  <m:r>
                    <m:t>L</m:t>
                  </m:r>
                </m:sub>
              </m:sSub>
              <m:r>
                <m:rPr>
                  <m:sty m:val="p"/>
                </m:rPr>
                <m:t>(</m:t>
              </m:r>
              <m:r>
                <m:t>p</m:t>
              </m:r>
              <m:r>
                <m:rPr>
                  <m:sty m:val="p"/>
                </m:rPr>
                <m:t>)</m:t>
              </m:r>
              <m:r>
                <m:t>&amp;</m:t>
              </m:r>
              <m:r>
                <m:rPr>
                  <m:sty m:val="p"/>
                </m:rPr>
                <m:t>=</m:t>
              </m:r>
              <m:r>
                <m:rPr>
                  <m:sty m:val="p"/>
                </m:rPr>
                <m:t>[</m:t>
              </m:r>
              <m:r>
                <m:rPr>
                  <m:sty m:val="p"/>
                </m:rPr>
                <m:t>(</m:t>
              </m:r>
              <m:r>
                <m:t>0.45</m:t>
              </m:r>
              <m:r>
                <m:rPr>
                  <m:sty m:val="p"/>
                </m:rPr>
                <m:t>−</m:t>
              </m:r>
              <m:r>
                <m:t>p</m:t>
              </m:r>
              <m:r>
                <m:rPr>
                  <m:sty m:val="p"/>
                </m:rPr>
                <m:t>)</m:t>
              </m:r>
              <m:r>
                <m:rPr>
                  <m:sty m:val="p"/>
                </m:rPr>
                <m:t>/</m:t>
              </m:r>
              <m:r>
                <m:t>0.45</m:t>
              </m:r>
              <m:sSubSup>
                <m:e>
                  <m:r>
                    <m:rPr>
                      <m:sty m:val="p"/>
                    </m:rPr>
                    <m:t>]</m:t>
                  </m:r>
                </m:e>
                <m:sub>
                  <m:r>
                    <m:t>0</m:t>
                  </m:r>
                </m:sub>
                <m:sup>
                  <m:r>
                    <m:t>1</m:t>
                  </m:r>
                </m:sup>
              </m:sSubSup>
              <m:r>
                <m:rPr>
                  <m:sty m:val="p"/>
                </m:rPr>
                <m:t>,</m:t>
              </m:r>
              <m:r>
                <m:t>  </m:t>
              </m:r>
              <m:r>
                <m:rPr>
                  <m:sty m:val="p"/>
                </m:rPr>
                <m:t>(</m:t>
              </m:r>
              <m:r>
                <m:t>2</m:t>
              </m:r>
              <m:r>
                <m:rPr>
                  <m:sty m:val="p"/>
                </m:rPr>
                <m:t>)</m:t>
              </m:r>
            </m:e>
            <m:e>
              <m:sSub>
                <m:e>
                  <m:r>
                    <m:t>μ</m:t>
                  </m:r>
                </m:e>
                <m:sub>
                  <m:r>
                    <m:t>M</m:t>
                  </m:r>
                </m:sub>
              </m:sSub>
              <m:r>
                <m:rPr>
                  <m:sty m:val="p"/>
                </m:rPr>
                <m:t>(</m:t>
              </m:r>
              <m:r>
                <m:t>p</m:t>
              </m:r>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sty m:val="p"/>
                          </m:rPr>
                          <m:t>(</m:t>
                        </m:r>
                        <m:r>
                          <m:t>p</m:t>
                        </m:r>
                        <m:r>
                          <m:rPr>
                            <m:sty m:val="p"/>
                          </m:rPr>
                          <m:t>−</m:t>
                        </m:r>
                        <m:r>
                          <m:t>0.15</m:t>
                        </m:r>
                        <m:r>
                          <m:rPr>
                            <m:sty m:val="p"/>
                          </m:rPr>
                          <m:t>)</m:t>
                        </m:r>
                        <m:r>
                          <m:rPr>
                            <m:sty m:val="p"/>
                          </m:rPr>
                          <m:t>/</m:t>
                        </m:r>
                        <m:r>
                          <m:t>0.35</m:t>
                        </m:r>
                        <m:sSubSup>
                          <m:e>
                            <m:r>
                              <m:rPr>
                                <m:sty m:val="p"/>
                              </m:rPr>
                              <m:t>]</m:t>
                            </m:r>
                          </m:e>
                          <m:sub>
                            <m:r>
                              <m:t>0</m:t>
                            </m:r>
                          </m:sub>
                          <m:sup>
                            <m:r>
                              <m:t>1</m:t>
                            </m:r>
                          </m:sup>
                        </m:sSubSup>
                        <m:r>
                          <m:rPr>
                            <m:sty m:val="p"/>
                          </m:rPr>
                          <m:t>,</m:t>
                        </m:r>
                      </m:e>
                      <m:e>
                        <m:r>
                          <m:t>p</m:t>
                        </m:r>
                        <m:r>
                          <m:rPr>
                            <m:sty m:val="p"/>
                          </m:rPr>
                          <m:t>&lt;</m:t>
                        </m:r>
                        <m:r>
                          <m:t>0.5</m:t>
                        </m:r>
                        <m:r>
                          <m:rPr>
                            <m:sty m:val="p"/>
                          </m:rPr>
                          <m:t>,</m:t>
                        </m:r>
                      </m:e>
                    </m:mr>
                    <m:mr>
                      <m:e>
                        <m:r>
                          <m:rPr>
                            <m:sty m:val="p"/>
                          </m:rPr>
                          <m:t>[</m:t>
                        </m:r>
                        <m:r>
                          <m:rPr>
                            <m:sty m:val="p"/>
                          </m:rPr>
                          <m:t>(</m:t>
                        </m:r>
                        <m:r>
                          <m:t>0.85</m:t>
                        </m:r>
                        <m:r>
                          <m:rPr>
                            <m:sty m:val="p"/>
                          </m:rPr>
                          <m:t>−</m:t>
                        </m:r>
                        <m:r>
                          <m:t>p</m:t>
                        </m:r>
                        <m:r>
                          <m:rPr>
                            <m:sty m:val="p"/>
                          </m:rPr>
                          <m:t>)</m:t>
                        </m:r>
                        <m:r>
                          <m:rPr>
                            <m:sty m:val="p"/>
                          </m:rPr>
                          <m:t>/</m:t>
                        </m:r>
                        <m:r>
                          <m:t>0.35</m:t>
                        </m:r>
                        <m:sSubSup>
                          <m:e>
                            <m:r>
                              <m:rPr>
                                <m:sty m:val="p"/>
                              </m:rPr>
                              <m:t>]</m:t>
                            </m:r>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e>
            <m:e>
              <m:sSub>
                <m:e>
                  <m:r>
                    <m:t>μ</m:t>
                  </m:r>
                </m:e>
                <m:sub>
                  <m:r>
                    <m:t>H</m:t>
                  </m:r>
                </m:sub>
              </m:sSub>
              <m:r>
                <m:rPr>
                  <m:sty m:val="p"/>
                </m:rPr>
                <m:t>(</m:t>
              </m:r>
              <m:r>
                <m:t>p</m:t>
              </m:r>
              <m:r>
                <m:rPr>
                  <m:sty m:val="p"/>
                </m:rPr>
                <m:t>)</m:t>
              </m:r>
              <m:r>
                <m:t>&amp;</m:t>
              </m:r>
              <m:r>
                <m:rPr>
                  <m:sty m:val="p"/>
                </m:rPr>
                <m:t>=</m:t>
              </m:r>
              <m:r>
                <m:rPr>
                  <m:sty m:val="p"/>
                </m:rPr>
                <m:t>[</m:t>
              </m:r>
              <m:r>
                <m:rPr>
                  <m:sty m:val="p"/>
                </m:rPr>
                <m:t>(</m:t>
              </m:r>
              <m:r>
                <m:t>p</m:t>
              </m:r>
              <m:r>
                <m:rPr>
                  <m:sty m:val="p"/>
                </m:rPr>
                <m:t>−</m:t>
              </m:r>
              <m:r>
                <m:t>0.55</m:t>
              </m:r>
              <m:r>
                <m:rPr>
                  <m:sty m:val="p"/>
                </m:rPr>
                <m:t>)</m:t>
              </m:r>
              <m:r>
                <m:rPr>
                  <m:sty m:val="p"/>
                </m:rPr>
                <m:t>/</m:t>
              </m:r>
              <m:r>
                <m:t>0.45</m:t>
              </m:r>
              <m:sSubSup>
                <m:e>
                  <m:r>
                    <m:rPr>
                      <m:sty m:val="p"/>
                    </m:rPr>
                    <m:t>]</m:t>
                  </m:r>
                </m:e>
                <m:sub>
                  <m:r>
                    <m:t>0</m:t>
                  </m:r>
                </m:sub>
                <m:sup>
                  <m:r>
                    <m:t>1</m:t>
                  </m:r>
                </m:sup>
              </m:sSubSup>
              <m:r>
                <m:rPr>
                  <m:sty m:val="p"/>
                </m:rPr>
                <m:t>.</m:t>
              </m:r>
              <m:r>
                <m:t>  </m:t>
              </m:r>
              <m:r>
                <m:rPr>
                  <m:sty m:val="p"/>
                </m:rPr>
                <m:t>(</m:t>
              </m:r>
              <m:r>
                <m:t>4</m:t>
              </m:r>
              <m:r>
                <m:rPr>
                  <m:sty m:val="p"/>
                </m:rPr>
                <m:t>)</m:t>
              </m:r>
            </m:e>
          </m:eqAr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tbl>
      <w:tblPr>
        <w:tblStyle w:val="Table"/>
        <w:tblW w:type="pct" w:w="5000"/>
        <w:tblLayout w:type="fixed"/>
        <w:tblLook w:firstRow="0" w:lastRow="0" w:firstColumn="0" w:lastColumn="0" w:noHBand="0" w:noVBand="0" w:val="0000"/>
      </w:tblPr>
      <w:tblGrid>
        <w:gridCol w:w="255"/>
        <w:gridCol w:w="7664"/>
      </w:tblGrid>
      <w:tr>
        <w:tc>
          <w:tcPr/>
          <w:p>
            <w:pPr>
              <w:pStyle w:val="Compact"/>
              <w:jc w:val="left"/>
            </w:pPr>
            <m:oMath>
              <m:sSub>
                <m:e>
                  <m:r>
                    <m:t>R</m:t>
                  </m:r>
                </m:e>
                <m:sub>
                  <m:r>
                    <m:t>1</m:t>
                  </m:r>
                </m:sub>
              </m:sSub>
            </m:oMath>
            <w:r>
              <w:t xml:space="preserve">:</w:t>
            </w:r>
          </w:p>
        </w:tc>
        <w:tc>
          <w:tcPr/>
          <w:p>
            <w:pPr>
              <w:pStyle w:val="Compact"/>
              <w:jc w:val="left"/>
            </w:pPr>
            <w:r>
              <w:t xml:space="preserve">IF risk IS Low THEN action</w:t>
            </w:r>
            <w:r>
              <w:t xml:space="preserve"> </w:t>
            </w:r>
            <m:oMath>
              <m:r>
                <m:rPr>
                  <m:sty m:val="p"/>
                </m:rPr>
                <m:t>=</m:t>
              </m:r>
            </m:oMath>
            <w:r>
              <w:t xml:space="preserve"> </w:t>
            </w:r>
            <w:r>
              <w:t xml:space="preserve">Monitor (log the alert; no intervention);</w:t>
            </w:r>
          </w:p>
        </w:tc>
      </w:tr>
      <w:tr>
        <w:tc>
          <w:tcPr/>
          <w:p>
            <w:pPr>
              <w:pStyle w:val="Compact"/>
              <w:jc w:val="left"/>
            </w:pPr>
            <m:oMath>
              <m:sSub>
                <m:e>
                  <m:r>
                    <m:t>R</m:t>
                  </m:r>
                </m:e>
                <m:sub>
                  <m:r>
                    <m:t>2</m:t>
                  </m:r>
                </m:sub>
              </m:sSub>
            </m:oMath>
            <w:r>
              <w:t xml:space="preserve">:</w:t>
            </w:r>
          </w:p>
        </w:tc>
        <w:tc>
          <w:tcPr/>
          <w:p>
            <w:pPr>
              <w:pStyle w:val="Compact"/>
              <w:jc w:val="left"/>
            </w:pPr>
            <w:r>
              <w:t xml:space="preserve">IF risk IS Medium THEN action</w:t>
            </w:r>
            <w:r>
              <w:t xml:space="preserve"> </w:t>
            </w:r>
            <m:oMath>
              <m:r>
                <m:rPr>
                  <m:sty m:val="p"/>
                </m:rPr>
                <m:t>=</m:t>
              </m:r>
            </m:oMath>
            <w:r>
              <w:t xml:space="preserve"> </w:t>
            </w:r>
            <w:r>
              <w:t xml:space="preserve">Soft-block (automatic containment, e.g., rate-limiting);</w:t>
            </w:r>
          </w:p>
        </w:tc>
      </w:tr>
      <w:tr>
        <w:tc>
          <w:tcPr/>
          <w:p>
            <w:pPr>
              <w:pStyle w:val="Compact"/>
              <w:jc w:val="left"/>
            </w:pPr>
            <m:oMath>
              <m:sSub>
                <m:e>
                  <m:r>
                    <m:t>R</m:t>
                  </m:r>
                </m:e>
                <m:sub>
                  <m:r>
                    <m:t>3</m:t>
                  </m:r>
                </m:sub>
              </m:sSub>
            </m:oMath>
            <w:r>
              <w:t xml:space="preserve">:</w:t>
            </w:r>
          </w:p>
        </w:tc>
        <w:tc>
          <w:tcPr/>
          <w:p>
            <w:pPr>
              <w:pStyle w:val="Compact"/>
              <w:jc w:val="left"/>
            </w:pPr>
            <w:r>
              <w:t xml:space="preserve">IF risk IS High THEN action</w:t>
            </w:r>
            <w:r>
              <w:t xml:space="preserve"> </w:t>
            </w:r>
            <m:oMath>
              <m:r>
                <m:rPr>
                  <m:sty m:val="p"/>
                </m:rPr>
                <m:t>=</m:t>
              </m:r>
            </m:oMath>
            <w:r>
              <w:t xml:space="preserve"> </w:t>
            </w:r>
            <w:r>
              <w:t xml:space="preserve">Escalate (hand over to a human analyst).</w:t>
            </w:r>
          </w:p>
        </w:tc>
      </w:tr>
    </w:tbl>
    <w:p>
      <w:pPr>
        <w:pStyle w:val="BodyText"/>
      </w:pPr>
      <w:r>
        <w:t xml:space="preserve">Each rule fires with strength</w:t>
      </w:r>
      <w:r>
        <w:t xml:space="preserve"> </w:t>
      </w:r>
      <m:oMath>
        <m:sSub>
          <m:e>
            <m:r>
              <m:t>μ</m:t>
            </m:r>
          </m:e>
          <m:sub>
            <m:r>
              <m:t>k</m:t>
            </m:r>
          </m:sub>
        </m:sSub>
        <m:r>
          <m:rPr>
            <m:sty m:val="p"/>
          </m:rPr>
          <m:t>(</m:t>
        </m:r>
        <m:sSub>
          <m:e>
            <m:r>
              <m:t>p</m:t>
            </m:r>
          </m:e>
          <m:sub>
            <m:r>
              <m:t>i</m:t>
            </m:r>
          </m:sub>
        </m:sSub>
        <m:r>
          <m:rPr>
            <m:sty m:val="p"/>
          </m:rPr>
          <m:t>)</m:t>
        </m:r>
      </m:oMath>
      <w:r>
        <w:t xml:space="preserve">, and conflicts are resolved by winner-take-all, with ties going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sty m:val="p"/>
                    </m:rPr>
                    <m:t>*</m:t>
                  </m:r>
                </m:sup>
              </m:sSubSup>
            </m:e>
          </m:d>
          <m:r>
            <m:rPr>
              <m:sty m:val="p"/>
            </m:rPr>
            <m:t>,</m:t>
          </m:r>
          <m:r>
            <m:t>  </m:t>
          </m:r>
          <m:sSubSup>
            <m:e>
              <m:r>
                <m:t>k</m:t>
              </m:r>
            </m:e>
            <m:sub>
              <m:r>
                <m:t>i</m:t>
              </m:r>
            </m:sub>
            <m:sup>
              <m:r>
                <m:rP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rPr>
            <m:sty m:val="p"/>
          </m:rPr>
          <m:t>(</m:t>
        </m:r>
        <m:r>
          <m:t>L</m:t>
        </m:r>
        <m:r>
          <m:rPr>
            <m:sty m:val="p"/>
          </m:rPr>
          <m:t>,</m:t>
        </m:r>
        <m:r>
          <m:t>M</m:t>
        </m:r>
        <m:r>
          <m:rPr>
            <m:sty m:val="p"/>
          </m:rPr>
          <m:t>,</m:t>
        </m:r>
        <m:r>
          <m:t>H</m:t>
        </m:r>
        <m:r>
          <m:rPr>
            <m:sty m:val="p"/>
          </m:rPr>
          <m:t>)</m:t>
        </m:r>
      </m:oMath>
      <w:r>
        <w:t xml:space="preserve"> </w:t>
      </w:r>
      <w:r>
        <w:t xml:space="preserve">to (Monitor, Soft-block, Escalate). Firing strengths are logged with every decision as its explanation (e.g., “</w:t>
      </w:r>
      <m:oMath>
        <m:r>
          <m:t>p</m:t>
        </m:r>
        <m:r>
          <m:rPr>
            <m:sty m:val="p"/>
          </m:rPr>
          <m:t>=</m:t>
        </m:r>
        <m:r>
          <m:t>0.60</m:t>
        </m:r>
      </m:oMath>
      <w:r>
        <w:t xml:space="preserve">:</w:t>
      </w:r>
      <w:r>
        <w:t xml:space="preserve"> </w:t>
      </w:r>
      <m:oMath>
        <m:sSub>
          <m:e>
            <m:r>
              <m:t>μ</m:t>
            </m:r>
          </m:e>
          <m:sub>
            <m:r>
              <m:t>M</m:t>
            </m:r>
          </m:sub>
        </m:sSub>
        <m:r>
          <m:rPr>
            <m:sty m:val="p"/>
          </m:rPr>
          <m:t>=</m:t>
        </m:r>
        <m:r>
          <m:t>0.71</m:t>
        </m:r>
      </m:oMath>
      <w:r>
        <w:t xml:space="preserve">,</w:t>
      </w:r>
      <w:r>
        <w:t xml:space="preserve"> </w:t>
      </w:r>
      <m:oMath>
        <m:sSub>
          <m:e>
            <m:r>
              <m:t>μ</m:t>
            </m:r>
          </m:e>
          <m:sub>
            <m:r>
              <m:t>H</m:t>
            </m:r>
          </m:sub>
        </m:sSub>
        <m:r>
          <m:rPr>
            <m:sty m:val="p"/>
          </m:rPr>
          <m:t>=</m:t>
        </m:r>
        <m:r>
          <m:t>0.11</m:t>
        </m:r>
      </m:oMath>
      <w:r>
        <w:t xml:space="preserve">, Soft-block”).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Eq. (5)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1b).</w:t>
      </w:r>
    </w:p>
    <w:bookmarkEnd w:id="15"/>
    <w:bookmarkStart w:id="16" w:name="cost-model-and-decision-metrics"/>
    <w:p>
      <w:pPr>
        <w:pStyle w:val="Heading2"/>
      </w:pPr>
      <w:r>
        <w:t xml:space="preserve">Cost model and decision metrics</w:t>
      </w:r>
    </w:p>
    <w:p>
      <w:pPr>
        <w:pStyle w:val="FirstParagraph"/>
      </w:pPr>
      <w:r>
        <w:t xml:space="preserve">Actions are scored with the relative cost matrix</w:t>
      </w:r>
    </w:p>
    <w:p>
      <w:pPr>
        <w:pStyle w:val="BodyText"/>
      </w:pPr>
      <m:oMathPara>
        <m:oMathParaPr>
          <m:jc m:val="center"/>
        </m:oMathParaPr>
        <m:oMath>
          <m:eqArr>
            <m:e>
              <m:r>
                <m:t>C</m:t>
              </m:r>
              <m:r>
                <m:rPr>
                  <m:sty m:val="p"/>
                </m:rPr>
                <m:t>(</m:t>
              </m:r>
              <m:r>
                <m:rPr>
                  <m:nor/>
                  <m:sty m:val="p"/>
                </m:rPr>
                <m:t>Monitor</m:t>
              </m:r>
              <m:r>
                <m:rPr>
                  <m:sty m:val="p"/>
                </m:rPr>
                <m:t>,</m:t>
              </m:r>
              <m:r>
                <m:t>y</m:t>
              </m:r>
              <m:r>
                <m:rPr>
                  <m:sty m:val="p"/>
                </m:rPr>
                <m:t>)</m:t>
              </m:r>
              <m:r>
                <m:t>&amp;</m:t>
              </m:r>
              <m:r>
                <m:rPr>
                  <m:sty m:val="p"/>
                </m:rPr>
                <m:t>=</m:t>
              </m:r>
              <m:sSub>
                <m:e>
                  <m:r>
                    <m:t>C</m:t>
                  </m:r>
                </m:e>
                <m:sub>
                  <m:r>
                    <m:t>F</m:t>
                  </m:r>
                  <m:r>
                    <m:t>N</m:t>
                  </m:r>
                </m:sub>
              </m:sSub>
              <m:r>
                <m:t> </m:t>
              </m:r>
              <m:r>
                <m:t>y</m:t>
              </m:r>
              <m:r>
                <m:rPr>
                  <m:sty m:val="p"/>
                </m:rPr>
                <m:t>,</m:t>
              </m:r>
              <m:r>
                <m:t>&amp;</m:t>
              </m:r>
              <m:r>
                <m:t>C</m:t>
              </m:r>
              <m:r>
                <m:rPr>
                  <m:sty m:val="p"/>
                </m:rPr>
                <m:t>(</m:t>
              </m:r>
              <m:r>
                <m:rPr>
                  <m:nor/>
                  <m:sty m:val="p"/>
                </m:rPr>
                <m:t>Soft-block</m:t>
              </m:r>
              <m:r>
                <m:rPr>
                  <m:sty m:val="p"/>
                </m:rPr>
                <m:t>,</m:t>
              </m:r>
              <m:r>
                <m:t>y</m:t>
              </m:r>
              <m:r>
                <m:rPr>
                  <m:sty m:val="p"/>
                </m:rPr>
                <m:t>)</m:t>
              </m:r>
              <m:r>
                <m:t>&amp;</m:t>
              </m:r>
              <m:r>
                <m:rPr>
                  <m:sty m:val="p"/>
                </m:rPr>
                <m:t>=</m:t>
              </m:r>
              <m:r>
                <m:t>1</m:t>
              </m:r>
              <m:r>
                <m:rPr>
                  <m:sty m:val="p"/>
                </m:rPr>
                <m:t>+</m:t>
              </m:r>
              <m:r>
                <m:rPr>
                  <m:sty m:val="p"/>
                </m:rPr>
                <m:t>(</m:t>
              </m:r>
              <m:r>
                <m:t>1</m:t>
              </m:r>
              <m:r>
                <m:rPr>
                  <m:sty m:val="p"/>
                </m:rPr>
                <m:t>−</m:t>
              </m:r>
              <m:r>
                <m:t>y</m:t>
              </m:r>
              <m:r>
                <m:rPr>
                  <m:sty m:val="p"/>
                </m:rPr>
                <m:t>)</m:t>
              </m:r>
              <m:r>
                <m:rPr>
                  <m:sty m:val="p"/>
                </m:rPr>
                <m:t>,</m:t>
              </m:r>
            </m:e>
            <m:e>
              <m:r>
                <m:t>C</m:t>
              </m:r>
              <m:r>
                <m:rPr>
                  <m:sty m:val="p"/>
                </m:rPr>
                <m:t>(</m:t>
              </m:r>
              <m:r>
                <m:rPr>
                  <m:nor/>
                  <m:sty m:val="p"/>
                </m:rPr>
                <m:t>Escalate</m:t>
              </m:r>
              <m:r>
                <m:rPr>
                  <m:sty m:val="p"/>
                </m:rPr>
                <m:t>,</m:t>
              </m:r>
              <m:r>
                <m:t>y</m:t>
              </m:r>
              <m:r>
                <m:rPr>
                  <m:sty m:val="p"/>
                </m:rPr>
                <m:t>)</m:t>
              </m:r>
              <m:r>
                <m:t>&amp;</m:t>
              </m:r>
              <m:r>
                <m:rPr>
                  <m:sty m:val="p"/>
                </m:rPr>
                <m:t>=</m:t>
              </m:r>
              <m:r>
                <m:t>3</m:t>
              </m:r>
              <m:r>
                <m:rPr>
                  <m:sty m:val="p"/>
                </m:rPr>
                <m:t>+</m:t>
              </m:r>
              <m:r>
                <m:t>3</m:t>
              </m:r>
              <m:r>
                <m:rPr>
                  <m:sty m:val="p"/>
                </m:rPr>
                <m:t>(</m:t>
              </m:r>
              <m:r>
                <m:t>1</m:t>
              </m:r>
              <m:r>
                <m:rPr>
                  <m:sty m:val="p"/>
                </m:rPr>
                <m:t>−</m:t>
              </m:r>
              <m:r>
                <m:t>y</m:t>
              </m:r>
              <m:r>
                <m:rPr>
                  <m:sty m:val="p"/>
                </m:rPr>
                <m:t>)</m:t>
              </m:r>
              <m:r>
                <m:rPr>
                  <m:sty m:val="p"/>
                </m:rPr>
                <m:t>,</m:t>
              </m:r>
              <m:r>
                <m:t>&amp;</m:t>
              </m:r>
              <m:sSub>
                <m:e>
                  <m:r>
                    <m:t>C</m:t>
                  </m:r>
                </m:e>
                <m:sub>
                  <m:r>
                    <m:t>F</m:t>
                  </m:r>
                  <m:r>
                    <m:t>N</m:t>
                  </m:r>
                </m:sub>
              </m:sSub>
              <m:r>
                <m:t>&amp;</m:t>
              </m:r>
              <m:r>
                <m:rPr>
                  <m:sty m:val="p"/>
                </m:rPr>
                <m:t>=</m:t>
              </m:r>
              <m:r>
                <m:t>10</m:t>
              </m:r>
              <m:r>
                <m:rPr>
                  <m:sty m:val="p"/>
                </m:rPr>
                <m:t>.</m:t>
              </m:r>
            </m:e>
          </m:eqArr>
          <m:r>
            <m:t>  </m:t>
          </m:r>
          <m:r>
            <m:rPr>
              <m:sty m:val="p"/>
            </m:rPr>
            <m:t>(</m:t>
          </m:r>
          <m:r>
            <m:t>6</m:t>
          </m:r>
          <m:r>
            <m:rPr>
              <m:sty m:val="p"/>
            </m:rPr>
            <m:t>)</m:t>
          </m:r>
        </m:oMath>
      </m:oMathPara>
    </w:p>
    <w:p>
      <w:pPr>
        <w:pStyle w:val="FirstParagraph"/>
      </w:pPr>
      <w:r>
        <w:t xml:space="preserve">Policies are compared by the mean triage cost</w:t>
      </w:r>
      <w:r>
        <w:t xml:space="preserve"> </w:t>
      </w:r>
      <m:oMath>
        <m:acc>
          <m:accPr>
            <m:chr m:val="‾"/>
          </m:accPr>
          <m:e>
            <m:r>
              <m:t>C</m:t>
            </m:r>
          </m:e>
        </m:acc>
        <m:r>
          <m:rPr>
            <m:sty m:val="p"/>
          </m:rPr>
          <m:t>=</m:t>
        </m:r>
        <m:f>
          <m:fPr>
            <m:type m:val="bar"/>
          </m:fPr>
          <m:num>
            <m:r>
              <m:t>1</m:t>
            </m:r>
          </m:num>
          <m:den>
            <m:r>
              <m:t>N</m:t>
            </m:r>
          </m:den>
        </m:f>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and unnecessary escalations (escalated benign alerts). As a reference we also report the plug-in Bayes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which treats</w:t>
      </w:r>
      <w:r>
        <w:t xml:space="preserve"> </w:t>
      </w:r>
      <m:oMath>
        <m:sSub>
          <m:e>
            <m:r>
              <m:t>p</m:t>
            </m:r>
          </m:e>
          <m:sub>
            <m:r>
              <m:t>i</m:t>
            </m:r>
          </m:sub>
        </m:sSub>
      </m:oMath>
      <w:r>
        <w:t xml:space="preserve"> </w:t>
      </w:r>
      <w:r>
        <w:t xml:space="preserve">as calibrated. Because</w:t>
      </w:r>
      <w:r>
        <w:t xml:space="preserve"> </w:t>
      </w:r>
      <m:oMath>
        <m:r>
          <m:t>C</m:t>
        </m:r>
        <m:r>
          <m:rPr>
            <m:sty m:val="p"/>
          </m:rPr>
          <m:t>(</m:t>
        </m:r>
        <m:r>
          <m:rPr>
            <m:nor/>
            <m:sty m:val="p"/>
          </m:rPr>
          <m:t>Soft-block</m:t>
        </m:r>
        <m:r>
          <m:rPr>
            <m:sty m:val="p"/>
          </m:rPr>
          <m:t>,</m:t>
        </m:r>
        <m:r>
          <m:t>y</m:t>
        </m:r>
        <m:r>
          <m:rPr>
            <m:sty m:val="p"/>
          </m:rPr>
          <m:t>)</m:t>
        </m:r>
        <m:r>
          <m:rPr>
            <m:sty m:val="p"/>
          </m:rPr>
          <m:t>&lt;</m:t>
        </m:r>
        <m:r>
          <m:t>C</m:t>
        </m:r>
        <m:r>
          <m:rPr>
            <m:sty m:val="p"/>
          </m:rPr>
          <m:t>(</m:t>
        </m:r>
        <m:r>
          <m:rPr>
            <m:nor/>
            <m:sty m:val="p"/>
          </m:rPr>
          <m:t>Escalate</m:t>
        </m:r>
        <m:r>
          <m:rPr>
            <m:sty m:val="p"/>
          </m:rPr>
          <m:t>,</m:t>
        </m:r>
        <m:r>
          <m:t>y</m:t>
        </m:r>
        <m:r>
          <m:rPr>
            <m:sty m:val="p"/>
          </m:rPr>
          <m:t>)</m:t>
        </m:r>
      </m:oMath>
      <w:r>
        <w:t xml:space="preserve"> </w:t>
      </w:r>
      <w:r>
        <w:t xml:space="preserve">for both classes, Eq. (7) never escalates and soft-blocks whenever</w:t>
      </w:r>
      <w:r>
        <w:t xml:space="preserve"> </w:t>
      </w:r>
      <m:oMath>
        <m:sSub>
          <m:e>
            <m:r>
              <m:t>p</m:t>
            </m:r>
          </m:e>
          <m:sub>
            <m:r>
              <m:t>i</m:t>
            </m:r>
          </m:sub>
        </m:sSub>
        <m:r>
          <m:rPr>
            <m:sty m:val="p"/>
          </m:rPr>
          <m:t>&gt;</m:t>
        </m:r>
        <m:r>
          <m:t>2</m:t>
        </m:r>
        <m:r>
          <m:rPr>
            <m:sty m:val="p"/>
          </m:rPr>
          <m:t>/</m:t>
        </m:r>
        <m:r>
          <m:t>11</m:t>
        </m:r>
      </m:oMath>
      <w:r>
        <w:t xml:space="preserve">.</w:t>
      </w:r>
    </w:p>
    <w:bookmarkEnd w:id="16"/>
    <w:bookmarkEnd w:id="17"/>
    <w:bookmarkStart w:id="18" w:name="experimental-design"/>
    <w:p>
      <w:pPr>
        <w:pStyle w:val="Heading1"/>
      </w:pPr>
      <w:r>
        <w:t xml:space="preserve">Experimental design</w:t>
      </w:r>
    </w:p>
    <w:p>
      <w:pPr>
        <w:pStyle w:val="FirstParagraph"/>
      </w:pPr>
      <w:r>
        <w:rPr>
          <w:i/>
          <w:iCs/>
        </w:rPr>
        <w:t xml:space="preserve">Data.</w:t>
      </w:r>
      <w:r>
        <w:t xml:space="preserve"> </w:t>
      </w:r>
      <w:r>
        <w:t xml:space="preserve">We use the NSL-KDD benchmark [24]. For CPU-scale reproducibility, 40,000 training records are sampled and split 85/15 (stratified) into 34,000 for training and 6,000 for validation, with the scaler and one-hot encoder fitted on the training split only; the test set is capped at 20,000 records (attack rate 0.568). The test file contains attack types absent from training, so train/test shift is part of the task.</w:t>
      </w:r>
    </w:p>
    <w:p>
      <w:pPr>
        <w:pStyle w:val="BodyText"/>
      </w:pPr>
      <w:r>
        <w:rPr>
          <w:i/>
          <w:iCs/>
        </w:rPr>
        <w:t xml:space="preserve">Baselines.</w:t>
      </w:r>
      <w:r>
        <w:t xml:space="preserve"> </w:t>
      </w:r>
      <w:r>
        <w:t xml:space="preserve">The detectors are class-balanced logistic regression, gradient boosting [22] (scikit-learn defaults) and the MLP alone (neural ablation); the proposed system shares the MLP propensity, so its contribution must show in decisions. Decision baselines on the same scores are a Monitor/Escalate threshold at 0.5, the same threshold tuned on validation data to minimise cost, and escalation of the top 20% of scores (a fixed analyst-capacity rule). The Bayes rule, Eq. (7), is a reference, not a competitor, as it needs the cost matrix and calibrated probabilities at run time. Learned policies (e.g., reinforcement learning [3]) need interaction data and are excluded.</w:t>
      </w:r>
    </w:p>
    <w:p>
      <w:pPr>
        <w:pStyle w:val="BodyText"/>
      </w:pPr>
      <w:r>
        <w:rPr>
          <w:i/>
          <w:iCs/>
        </w:rPr>
        <w:t xml:space="preserve">Statistics.</w:t>
      </w:r>
      <w:r>
        <w:t xml:space="preserve"> </w:t>
      </w:r>
      <w:r>
        <w:t xml:space="preserve">On the seed-42 test set we report percentile 95% confidence intervals from 2,000 paired bootstrap resamples of alerts [25] and two-sided Wilcoxon signed-rank tests on per-alert cost differences [26]. The full pipeline is repeated for seeds 42–51 (paired Wilcoxon test across seeds), and</w:t>
      </w:r>
      <w:r>
        <w:t xml:space="preserve"> </w:t>
      </w:r>
      <m:oMath>
        <m:sSub>
          <m:e>
            <m:r>
              <m:t>C</m:t>
            </m:r>
          </m:e>
          <m:sub>
            <m:r>
              <m:t>F</m:t>
            </m:r>
            <m:r>
              <m:t>N</m:t>
            </m:r>
          </m:sub>
        </m:sSub>
        <m:r>
          <m:rPr>
            <m:sty m:val="p"/>
          </m:rPr>
          <m:t>∈</m:t>
        </m:r>
        <m:r>
          <m:rPr>
            <m:sty m:val="p"/>
          </m:rPr>
          <m:t>[</m:t>
        </m:r>
        <m:r>
          <m:t>2</m:t>
        </m:r>
        <m:r>
          <m:rPr>
            <m:sty m:val="p"/>
          </m:rPr>
          <m:t>,</m:t>
        </m:r>
        <m:r>
          <m:t>30</m:t>
        </m:r>
        <m:r>
          <m:rPr>
            <m:sty m:val="p"/>
          </m:rPr>
          <m:t>]</m:t>
        </m:r>
      </m:oMath>
      <w:r>
        <w:t xml:space="preserve"> </w:t>
      </w:r>
      <w:r>
        <w:t xml:space="preserve">and the Medium-band half-width (0.25–0.45) are swept. One deterministic script (one PyTorch thread) produces every number.</w:t>
      </w:r>
    </w:p>
    <w:bookmarkEnd w:id="18"/>
    <w:bookmarkStart w:id="22" w:name="results-and-discussion"/>
    <w:p>
      <w:pPr>
        <w:pStyle w:val="Heading1"/>
      </w:pPr>
      <w:r>
        <w:t xml:space="preserve">Results and discussion</w:t>
      </w:r>
    </w:p>
    <w:p>
      <w:pPr>
        <w:pStyle w:val="TableCaption"/>
      </w:pPr>
      <w:r>
        <w:rPr>
          <w:b/>
          <w:bCs/>
        </w:rPr>
        <w:t xml:space="preserve">Table 1.</w:t>
      </w:r>
      <w:r>
        <w:t xml:space="preserve"> </w:t>
      </w:r>
      <w:r>
        <w:t xml:space="preserve">Predictive performance on the NSL-KDD test sample (seed 42; last column: mean</w:t>
      </w:r>
      <w:r>
        <w:t xml:space="preserve"> </w:t>
      </w:r>
      <m:oMath>
        <m:r>
          <m:rPr>
            <m:sty m:val="p"/>
          </m:rPr>
          <m:t>±</m:t>
        </m:r>
      </m:oMath>
      <w:r>
        <w:t xml:space="preserve"> </w:t>
      </w:r>
      <w:r>
        <w:t xml:space="preserve">SD of ROC-AUC over seeds 42–51). The proposed system uses the neural propensity, so its predictive metrics are identical by construction.</w:t>
      </w:r>
    </w:p>
    <w:tbl>
      <w:tblPr>
        <w:tblStyle w:val="Table"/>
        <w:tblW w:type="pct" w:w="5000"/>
        <w:tblLayout w:type="fixed"/>
        <w:tblLook w:firstRow="1" w:lastRow="0" w:firstColumn="0" w:lastColumn="0" w:noHBand="0" w:noVBand="0" w:val="0020"/>
        <w:tblCaption w:val="Table 1. Predictive performance on the NSL-KDD test sample (seed 42; last column: mean \pm SD of ROC-AUC over seeds 42–51). The proposed system uses the neural propensity, so its predictive metrics are identical by constructio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Acc.</w:t>
            </w:r>
          </w:p>
        </w:tc>
        <w:tc>
          <w:tcPr/>
          <w:p>
            <w:pPr>
              <w:pStyle w:val="Compact"/>
              <w:jc w:val="center"/>
            </w:pPr>
            <w:r>
              <w:t xml:space="preserve">F1</w:t>
            </w:r>
          </w:p>
        </w:tc>
        <w:tc>
          <w:tcPr/>
          <w:p>
            <w:pPr>
              <w:pStyle w:val="Compact"/>
              <w:jc w:val="center"/>
            </w:pPr>
            <w:r>
              <w:t xml:space="preserve">ROC-AUC</w:t>
            </w:r>
          </w:p>
        </w:tc>
        <w:tc>
          <w:tcPr/>
          <w:p>
            <w:pPr>
              <w:pStyle w:val="Compact"/>
              <w:jc w:val="center"/>
            </w:pPr>
            <w:r>
              <w:t xml:space="preserve">PR-AUC</w:t>
            </w:r>
          </w:p>
        </w:tc>
        <w:tc>
          <w:tcPr/>
          <w:p>
            <w:pPr>
              <w:pStyle w:val="Compact"/>
              <w:jc w:val="center"/>
            </w:pPr>
            <w:r>
              <w:t xml:space="preserve">AUC (10 seeds)</w:t>
            </w:r>
          </w:p>
        </w:tc>
      </w:tr>
      <w:tr>
        <w:tc>
          <w:tcPr/>
          <w:p>
            <w:pPr>
              <w:pStyle w:val="Compact"/>
              <w:jc w:val="left"/>
            </w:pPr>
            <w:r>
              <w:t xml:space="preserve">Logistic regression</w:t>
            </w:r>
          </w:p>
        </w:tc>
        <w:tc>
          <w:tcPr/>
          <w:p>
            <w:pPr>
              <w:pStyle w:val="Compact"/>
              <w:jc w:val="center"/>
            </w:pPr>
            <w:r>
              <w:t xml:space="preserve">0.752</w:t>
            </w:r>
          </w:p>
        </w:tc>
        <w:tc>
          <w:tcPr/>
          <w:p>
            <w:pPr>
              <w:pStyle w:val="Compact"/>
              <w:jc w:val="center"/>
            </w:pPr>
            <w:r>
              <w:t xml:space="preserve">0.740</w:t>
            </w:r>
          </w:p>
        </w:tc>
        <w:tc>
          <w:tcPr/>
          <w:p>
            <w:pPr>
              <w:pStyle w:val="Compact"/>
              <w:jc w:val="center"/>
            </w:pPr>
            <w:r>
              <w:t xml:space="preserve">0.818</w:t>
            </w:r>
          </w:p>
        </w:tc>
        <w:tc>
          <w:tcPr/>
          <w:p>
            <w:pPr>
              <w:pStyle w:val="Compact"/>
              <w:jc w:val="center"/>
            </w:pPr>
            <w:r>
              <w:t xml:space="preserve">0.879</w:t>
            </w:r>
          </w:p>
        </w:tc>
        <w:tc>
          <w:tcPr/>
          <w:p>
            <w:pPr>
              <w:pStyle w:val="Compact"/>
              <w:jc w:val="center"/>
            </w:pPr>
            <m:oMath>
              <m:r>
                <m:t>0.812</m:t>
              </m:r>
              <m:r>
                <m:rPr>
                  <m:sty m:val="p"/>
                </m:rPr>
                <m:t>±</m:t>
              </m:r>
              <m:r>
                <m:t>0.008</m:t>
              </m:r>
            </m:oMath>
          </w:p>
        </w:tc>
      </w:tr>
      <w:tr>
        <w:tc>
          <w:tcPr/>
          <w:p>
            <w:pPr>
              <w:pStyle w:val="Compact"/>
              <w:jc w:val="left"/>
            </w:pPr>
            <w:r>
              <w:t xml:space="preserve">Gradient boosting</w:t>
            </w:r>
          </w:p>
        </w:tc>
        <w:tc>
          <w:tcPr/>
          <w:p>
            <w:pPr>
              <w:pStyle w:val="Compact"/>
              <w:jc w:val="center"/>
            </w:pPr>
            <w:r>
              <w:rPr>
                <w:b/>
                <w:bCs/>
              </w:rPr>
              <w:t xml:space="preserve">0.786</w:t>
            </w:r>
          </w:p>
        </w:tc>
        <w:tc>
          <w:tcPr/>
          <w:p>
            <w:pPr>
              <w:pStyle w:val="Compact"/>
              <w:jc w:val="center"/>
            </w:pPr>
            <w:r>
              <w:rPr>
                <w:b/>
                <w:bCs/>
              </w:rPr>
              <w:t xml:space="preserve">0.774</w:t>
            </w:r>
          </w:p>
        </w:tc>
        <w:tc>
          <w:tcPr/>
          <w:p>
            <w:pPr>
              <w:pStyle w:val="Compact"/>
              <w:jc w:val="center"/>
            </w:pPr>
            <w:r>
              <w:rPr>
                <w:b/>
                <w:bCs/>
              </w:rPr>
              <w:t xml:space="preserve">0.947</w:t>
            </w:r>
          </w:p>
        </w:tc>
        <w:tc>
          <w:tcPr/>
          <w:p>
            <w:pPr>
              <w:pStyle w:val="Compact"/>
              <w:jc w:val="center"/>
            </w:pPr>
            <w:r>
              <w:rPr>
                <w:b/>
                <w:bCs/>
              </w:rPr>
              <w:t xml:space="preserve">0.951</w:t>
            </w:r>
          </w:p>
        </w:tc>
        <w:tc>
          <w:tcPr/>
          <w:p>
            <w:pPr>
              <w:pStyle w:val="Compact"/>
              <w:jc w:val="center"/>
            </w:pPr>
            <m:oMath>
              <m:r>
                <m:rPr>
                  <m:sty m:val="b"/>
                </m:rPr>
                <m:t>0.936</m:t>
              </m:r>
              <m:r>
                <m:rPr>
                  <m:sty m:val="b"/>
                </m:rPr>
                <m:t>±</m:t>
              </m:r>
              <m:r>
                <m:rPr>
                  <m:sty m:val="b"/>
                </m:rPr>
                <m:t>0.010</m:t>
              </m:r>
            </m:oMath>
          </w:p>
        </w:tc>
      </w:tr>
      <w:tr>
        <w:tc>
          <w:tcPr/>
          <w:p>
            <w:pPr>
              <w:pStyle w:val="Compact"/>
              <w:jc w:val="left"/>
            </w:pPr>
            <w:r>
              <w:t xml:space="preserve">Neural net (ablation)</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r>
        <w:tc>
          <w:tcPr/>
          <w:p>
            <w:pPr>
              <w:pStyle w:val="Compact"/>
              <w:jc w:val="left"/>
            </w:pPr>
            <w:r>
              <w:t xml:space="preserve">Fuzzy–neural (proposed)</w:t>
            </w:r>
          </w:p>
        </w:tc>
        <w:tc>
          <w:tcPr/>
          <w:p>
            <w:pPr>
              <w:pStyle w:val="Compact"/>
              <w:jc w:val="center"/>
            </w:pPr>
            <w:r>
              <w:t xml:space="preserve">0.773</w:t>
            </w:r>
          </w:p>
        </w:tc>
        <w:tc>
          <w:tcPr/>
          <w:p>
            <w:pPr>
              <w:pStyle w:val="Compact"/>
              <w:jc w:val="center"/>
            </w:pPr>
            <w:r>
              <w:t xml:space="preserve">0.766</w:t>
            </w:r>
          </w:p>
        </w:tc>
        <w:tc>
          <w:tcPr/>
          <w:p>
            <w:pPr>
              <w:pStyle w:val="Compact"/>
              <w:jc w:val="center"/>
            </w:pPr>
            <w:r>
              <w:t xml:space="preserve">0.908</w:t>
            </w:r>
          </w:p>
        </w:tc>
        <w:tc>
          <w:tcPr/>
          <w:p>
            <w:pPr>
              <w:pStyle w:val="Compact"/>
              <w:jc w:val="center"/>
            </w:pPr>
            <w:r>
              <w:t xml:space="preserve">0.923</w:t>
            </w:r>
          </w:p>
        </w:tc>
        <w:tc>
          <w:tcPr/>
          <w:p>
            <w:pPr>
              <w:pStyle w:val="Compact"/>
              <w:jc w:val="center"/>
            </w:pPr>
            <m:oMath>
              <m:r>
                <m:t>0.900</m:t>
              </m:r>
              <m:r>
                <m:rPr>
                  <m:sty m:val="p"/>
                </m:rPr>
                <m:t>±</m:t>
              </m:r>
              <m:r>
                <m:t>0.007</m:t>
              </m:r>
            </m:oMath>
          </w:p>
        </w:tc>
      </w:tr>
    </w:tbl>
    <w:p/>
    <w:p>
      <w:pPr>
        <w:pStyle w:val="TableCaption"/>
      </w:pPr>
      <w:r>
        <w:rPr>
          <w:b/>
          <w:bCs/>
        </w:rPr>
        <w:t xml:space="preserve">Table 2.</w:t>
      </w:r>
      <w:r>
        <w:t xml:space="preserve"> </w:t>
      </w:r>
      <w:r>
        <w:t xml:space="preserve">Decision quality on the seed-42 test sample (</w:t>
      </w:r>
      <m:oMath>
        <m:r>
          <m:t>N</m:t>
        </m:r>
        <m:r>
          <m:rPr>
            <m:sty m:val="p"/>
          </m:rPr>
          <m:t>=</m:t>
        </m:r>
        <m:r>
          <m:t>20</m:t>
        </m:r>
        <m:r>
          <m:rPr>
            <m:sty m:val="p"/>
          </m:rPr>
          <m:t>,</m:t>
        </m:r>
        <m:r>
          <m:t>000</m:t>
        </m:r>
      </m:oMath>
      <w:r>
        <w:t xml:space="preserve">). Brackets: paired bootstrap 95% CIs;</w:t>
      </w:r>
      <w:r>
        <w:t xml:space="preserve"> </w:t>
      </w:r>
      <m:oMath>
        <m:r>
          <m:rPr>
            <m:sty m:val="p"/>
          </m:rPr>
          <m:t>Δ</m:t>
        </m:r>
        <m:acc>
          <m:accPr>
            <m:chr m:val="‾"/>
          </m:accPr>
          <m:e>
            <m:r>
              <m:t>C</m:t>
            </m:r>
          </m:e>
        </m:acc>
      </m:oMath>
      <w:r>
        <w:t xml:space="preserve">: mean cost relative to the proposed policy (positive = alternative more expensive);</w:t>
      </w:r>
      <w:r>
        <w:t xml:space="preserve"> </w:t>
      </w:r>
      <m:oMath>
        <m:r>
          <m:t>p</m:t>
        </m:r>
      </m:oMath>
      <w:r>
        <w:t xml:space="preserve">: two-sided Wilcoxon signed-rank test on per-alert costs; last column: mean</w:t>
      </w:r>
      <w:r>
        <w:t xml:space="preserve"> </w:t>
      </w:r>
      <m:oMath>
        <m:r>
          <m:rPr>
            <m:sty m:val="p"/>
          </m:rPr>
          <m:t>±</m:t>
        </m:r>
      </m:oMath>
      <w:r>
        <w:t xml:space="preserve"> </w:t>
      </w:r>
      <w:r>
        <w:t xml:space="preserve">SD of</w:t>
      </w:r>
      <w:r>
        <w:t xml:space="preserve"> </w:t>
      </w:r>
      <m:oMath>
        <m:acc>
          <m:accPr>
            <m:chr m:val="‾"/>
          </m:accPr>
          <m:e>
            <m:r>
              <m:t>C</m:t>
            </m:r>
          </m:e>
        </m:acc>
      </m:oMath>
      <w:r>
        <w:t xml:space="preserve"> </w:t>
      </w:r>
      <w:r>
        <w:t xml:space="preserve">over seeds 42–51. UE = unnecessary escalations; NN/GB = neural/gradient-boosting propensity.</w:t>
      </w:r>
      <w:r>
        <w:t xml:space="preserve"> </w:t>
      </w:r>
      <m:oMath>
        <m:sSup>
          <m:e>
            <m:r>
              <m:t>​</m:t>
            </m:r>
          </m:e>
          <m:sup>
            <m:r>
              <m:t>b</m:t>
            </m:r>
          </m:sup>
        </m:sSup>
      </m:oMath>
      <w:r>
        <w:t xml:space="preserve">Reference only: soft-blocks every alert with</w:t>
      </w:r>
      <w:r>
        <w:t xml:space="preserve"> </w:t>
      </w:r>
      <m:oMath>
        <m:r>
          <m:t>p</m:t>
        </m:r>
        <m:r>
          <m:rPr>
            <m:sty m:val="p"/>
          </m:rPr>
          <m:t>&gt;</m:t>
        </m:r>
        <m:r>
          <m:t>2</m:t>
        </m:r>
        <m:r>
          <m:rPr>
            <m:sty m:val="p"/>
          </m:rPr>
          <m:t>/</m:t>
        </m:r>
        <m:r>
          <m:t>11</m:t>
        </m:r>
      </m:oMath>
      <w:r>
        <w:t xml:space="preserve"> </w:t>
      </w:r>
      <w:r>
        <w:t xml:space="preserve">(8,631 of 20,000) and never escalates.</w:t>
      </w:r>
      <w:r>
        <w:t xml:space="preserve"> </w:t>
      </w:r>
      <m:oMath>
        <m:sSup>
          <m:e>
            <m:r>
              <m:t>​</m:t>
            </m:r>
          </m:e>
          <m:sup>
            <m:r>
              <m:t>c</m:t>
            </m:r>
          </m:sup>
        </m:sSup>
      </m:oMath>
      <w:r>
        <w:t xml:space="preserve">Crisp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actions identical to the proposed policy.</w:t>
      </w:r>
    </w:p>
    <w:tbl>
      <w:tblPr>
        <w:tblStyle w:val="Table"/>
        <w:tblW w:type="pct" w:w="5000"/>
        <w:tblLayout w:type="fixed"/>
        <w:tblLook w:firstRow="1" w:lastRow="0" w:firstColumn="0" w:lastColumn="0" w:noHBand="0" w:noVBand="0" w:val="0020"/>
        <w:tblCaption w:val="Table 2. Decision quality on the seed-42 test sample (N=20{,}000). Brackets: paired bootstrap 95% CIs; \Delta\bar C: mean cost relative to the proposed policy (positive = alternative more expensive); p: two-sided Wilcoxon signed-rank test on per-alert costs; last column: mean \pm SD of \bar C over seeds 42–51. UE = unnecessary escalations; NN/GB = neural/gradient-boosting propensity. ^{b}Reference only: soft-blocks every alert with p&gt;2/11 (8,631 of 20,000) and never escalates. ^{c}Crisp cut-points at p=9/32 and 23/32; actions identical to the proposed policy."/>
      </w:tblPr>
      <w:tblGrid>
        <w:gridCol w:w="990"/>
        <w:gridCol w:w="990"/>
        <w:gridCol w:w="990"/>
        <w:gridCol w:w="990"/>
        <w:gridCol w:w="990"/>
        <w:gridCol w:w="990"/>
        <w:gridCol w:w="990"/>
        <w:gridCol w:w="990"/>
      </w:tblGrid>
      <w:tr>
        <w:trPr>
          <w:tblHeader w:val="on"/>
        </w:trPr>
        <w:tc>
          <w:tcPr/>
          <w:p>
            <w:pPr>
              <w:pStyle w:val="Compact"/>
              <w:jc w:val="left"/>
            </w:pPr>
            <w:r>
              <w:t xml:space="preserve">Policy</w:t>
            </w:r>
          </w:p>
        </w:tc>
        <w:tc>
          <w:tcPr/>
          <w:p>
            <w:pPr>
              <w:pStyle w:val="Compact"/>
              <w:jc w:val="left"/>
            </w:pPr>
            <w:r>
              <w:t xml:space="preserve">Scores</w:t>
            </w:r>
          </w:p>
        </w:tc>
        <w:tc>
          <w:tcPr/>
          <w:p>
            <w:pPr>
              <w:pStyle w:val="Compact"/>
              <w:jc w:val="center"/>
            </w:pPr>
            <m:oMath>
              <m:acc>
                <m:accPr>
                  <m:chr m:val="‾"/>
                </m:accPr>
                <m:e>
                  <m:r>
                    <m:t>C</m:t>
                  </m:r>
                </m:e>
              </m:acc>
            </m:oMath>
          </w:p>
        </w:tc>
        <w:tc>
          <w:tcPr/>
          <w:p>
            <w:pPr>
              <w:pStyle w:val="Compact"/>
              <w:jc w:val="center"/>
            </w:pPr>
            <w:r>
              <w:t xml:space="preserve">Coverage</w:t>
            </w:r>
          </w:p>
        </w:tc>
        <w:tc>
          <w:tcPr/>
          <w:p>
            <w:pPr>
              <w:pStyle w:val="Compact"/>
              <w:jc w:val="center"/>
            </w:pPr>
            <w:r>
              <w:t xml:space="preserve">UE</w:t>
            </w:r>
          </w:p>
        </w:tc>
        <w:tc>
          <w:tcPr/>
          <w:p>
            <w:pPr>
              <w:pStyle w:val="Compact"/>
              <w:jc w:val="center"/>
            </w:pPr>
            <m:oMath>
              <m:r>
                <m:rPr>
                  <m:sty m:val="p"/>
                </m:rPr>
                <m:t>Δ</m:t>
              </m:r>
              <m:acc>
                <m:accPr>
                  <m:chr m:val="‾"/>
                </m:accPr>
                <m:e>
                  <m:r>
                    <m:t>C</m:t>
                  </m:r>
                </m:e>
              </m:acc>
            </m:oMath>
          </w:p>
        </w:tc>
        <w:tc>
          <w:tcPr/>
          <w:p>
            <w:pPr>
              <w:pStyle w:val="Compact"/>
              <w:jc w:val="center"/>
            </w:pPr>
            <m:oMath>
              <m:r>
                <m:t>p</m:t>
              </m:r>
            </m:oMath>
          </w:p>
        </w:tc>
        <w:tc>
          <w:tcPr/>
          <w:p>
            <w:pPr>
              <w:pStyle w:val="Compact"/>
              <w:jc w:val="center"/>
            </w:pPr>
            <w:r>
              <w:t xml:space="preserve">10 seeds</w:t>
            </w:r>
          </w:p>
        </w:tc>
      </w:tr>
      <w:tr>
        <w:tc>
          <w:tcPr/>
          <w:p>
            <w:pPr>
              <w:pStyle w:val="Compact"/>
              <w:jc w:val="left"/>
            </w:pPr>
            <w:r>
              <w:t xml:space="preserve">Threshold 0.5</w:t>
            </w:r>
          </w:p>
        </w:tc>
        <w:tc>
          <w:tcPr/>
          <w:p>
            <w:pPr>
              <w:pStyle w:val="Compact"/>
              <w:jc w:val="left"/>
            </w:pPr>
            <w:r>
              <w:t xml:space="preserve">NN</w:t>
            </w:r>
          </w:p>
        </w:tc>
        <w:tc>
          <w:tcPr/>
          <w:p>
            <w:pPr>
              <w:pStyle w:val="Compact"/>
              <w:jc w:val="center"/>
            </w:pPr>
            <w:r>
              <w:t xml:space="preserve">3.264 [3.210, 3.316]</w:t>
            </w:r>
          </w:p>
        </w:tc>
        <w:tc>
          <w:tcPr/>
          <w:p>
            <w:pPr>
              <w:pStyle w:val="Compact"/>
              <w:jc w:val="center"/>
            </w:pPr>
            <w:r>
              <w:t xml:space="preserve">0.655 [0.646, 0.664]</w:t>
            </w:r>
          </w:p>
        </w:tc>
        <w:tc>
          <w:tcPr/>
          <w:p>
            <w:pPr>
              <w:pStyle w:val="Compact"/>
              <w:jc w:val="center"/>
            </w:pPr>
            <w:r>
              <w:t xml:space="preserve">623</w:t>
            </w:r>
          </w:p>
        </w:tc>
        <w:tc>
          <w:tcPr/>
          <w:p>
            <w:pPr>
              <w:pStyle w:val="Compact"/>
              <w:jc w:val="center"/>
            </w:pPr>
            <m:oMath>
              <m:r>
                <m:rPr>
                  <m:sty m:val="p"/>
                </m:rPr>
                <m:t>+</m:t>
              </m:r>
              <m:r>
                <m:t>0.196</m:t>
              </m:r>
            </m:oMath>
            <w:r>
              <w:t xml:space="preserve"> </w:t>
            </w:r>
            <w:r>
              <w:t xml:space="preserve">[0.180, 0.213]</w:t>
            </w:r>
          </w:p>
        </w:tc>
        <w:tc>
          <w:tcPr/>
          <w:p>
            <w:pPr>
              <w:pStyle w:val="Compact"/>
              <w:jc w:val="center"/>
            </w:pPr>
            <m:oMath>
              <m:r>
                <m:t>7.3</m:t>
              </m:r>
              <m:r>
                <m:rPr>
                  <m:sty m:val="p"/>
                </m:rPr>
                <m:t>×</m:t>
              </m:r>
              <m:sSup>
                <m:e>
                  <m:r>
                    <m:t>10</m:t>
                  </m:r>
                </m:e>
                <m:sup>
                  <m:r>
                    <m:rPr>
                      <m:sty m:val="p"/>
                    </m:rPr>
                    <m:t>−</m:t>
                  </m:r>
                  <m:r>
                    <m:t>124</m:t>
                  </m:r>
                </m:sup>
              </m:sSup>
            </m:oMath>
          </w:p>
        </w:tc>
        <w:tc>
          <w:tcPr/>
          <w:p>
            <w:pPr>
              <w:pStyle w:val="Compact"/>
              <w:jc w:val="center"/>
            </w:pPr>
            <m:oMath>
              <m:r>
                <m:t>3.246</m:t>
              </m:r>
              <m:r>
                <m:rPr>
                  <m:sty m:val="p"/>
                </m:rPr>
                <m:t>±</m:t>
              </m:r>
              <m:r>
                <m:t>0.076</m:t>
              </m:r>
            </m:oMath>
          </w:p>
        </w:tc>
      </w:tr>
      <w:tr>
        <w:tc>
          <w:tcPr/>
          <w:p>
            <w:pPr>
              <w:pStyle w:val="Compact"/>
              <w:jc w:val="left"/>
            </w:pPr>
            <w:r>
              <w:t xml:space="preserve">Top-20% escalate</w:t>
            </w:r>
          </w:p>
        </w:tc>
        <w:tc>
          <w:tcPr/>
          <w:p>
            <w:pPr>
              <w:pStyle w:val="Compact"/>
              <w:jc w:val="left"/>
            </w:pPr>
            <w:r>
              <w:t xml:space="preserve">NN</w:t>
            </w:r>
          </w:p>
        </w:tc>
        <w:tc>
          <w:tcPr/>
          <w:p>
            <w:pPr>
              <w:pStyle w:val="Compact"/>
              <w:jc w:val="center"/>
            </w:pPr>
            <w:r>
              <w:t xml:space="preserve">4.309 [4.246, 4.372]</w:t>
            </w:r>
          </w:p>
        </w:tc>
        <w:tc>
          <w:tcPr/>
          <w:p>
            <w:pPr>
              <w:pStyle w:val="Compact"/>
              <w:jc w:val="center"/>
            </w:pPr>
            <w:r>
              <w:t xml:space="preserve">0.348 [0.339, 0.357]</w:t>
            </w:r>
          </w:p>
        </w:tc>
        <w:tc>
          <w:tcPr/>
          <w:p>
            <w:pPr>
              <w:pStyle w:val="Compact"/>
              <w:jc w:val="center"/>
            </w:pPr>
            <w:r>
              <w:rPr>
                <w:b/>
                <w:bCs/>
              </w:rPr>
              <w:t xml:space="preserve">47</w:t>
            </w:r>
          </w:p>
        </w:tc>
        <w:tc>
          <w:tcPr/>
          <w:p>
            <w:pPr>
              <w:pStyle w:val="Compact"/>
              <w:jc w:val="center"/>
            </w:pPr>
            <m:oMath>
              <m:r>
                <m:rPr>
                  <m:sty m:val="p"/>
                </m:rPr>
                <m:t>+</m:t>
              </m:r>
              <m:r>
                <m:t>1.242</m:t>
              </m:r>
            </m:oMath>
            <w:r>
              <w:t xml:space="preserve"> </w:t>
            </w:r>
            <w:r>
              <w:t xml:space="preserve">[1.196, 1.285]</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4.318</m:t>
              </m:r>
              <m:r>
                <m:rPr>
                  <m:sty m:val="p"/>
                </m:rPr>
                <m:t>±</m:t>
              </m:r>
              <m:r>
                <m:t>0.009</m:t>
              </m:r>
            </m:oMath>
          </w:p>
        </w:tc>
      </w:tr>
      <w:tr>
        <w:tc>
          <w:tcPr/>
          <w:p>
            <w:pPr>
              <w:pStyle w:val="Compact"/>
              <w:jc w:val="left"/>
            </w:pPr>
            <w:r>
              <w:rPr>
                <w:b/>
                <w:bCs/>
              </w:rPr>
              <w:t xml:space="preserve">Fuzzy (proposed)</w:t>
            </w:r>
          </w:p>
        </w:tc>
        <w:tc>
          <w:tcPr/>
          <w:p>
            <w:pPr>
              <w:pStyle w:val="Compact"/>
              <w:jc w:val="left"/>
            </w:pPr>
            <w:r>
              <w:t xml:space="preserve">NN</w:t>
            </w:r>
          </w:p>
        </w:tc>
        <w:tc>
          <w:tcPr/>
          <w:p>
            <w:pPr>
              <w:pStyle w:val="Compact"/>
              <w:jc w:val="center"/>
            </w:pPr>
            <w:r>
              <w:rPr>
                <w:b/>
                <w:bCs/>
              </w:rPr>
              <w:t xml:space="preserve">3.068</w:t>
            </w:r>
            <w:r>
              <w:t xml:space="preserve"> </w:t>
            </w:r>
            <w:r>
              <w:t xml:space="preserve">[3.016, 3.118]</w:t>
            </w:r>
          </w:p>
        </w:tc>
        <w:tc>
          <w:tcPr/>
          <w:p>
            <w:pPr>
              <w:pStyle w:val="Compact"/>
              <w:jc w:val="center"/>
            </w:pPr>
            <w:r>
              <w:rPr>
                <w:b/>
                <w:bCs/>
              </w:rPr>
              <w:t xml:space="preserve">0.686</w:t>
            </w:r>
            <w:r>
              <w:t xml:space="preserve"> </w:t>
            </w:r>
            <w:r>
              <w:t xml:space="preserve">[0.677, 0.694]</w:t>
            </w:r>
          </w:p>
        </w:tc>
        <w:tc>
          <w:tcPr/>
          <w:p>
            <w:pPr>
              <w:pStyle w:val="Compact"/>
              <w:jc w:val="center"/>
            </w:pPr>
            <w:r>
              <w:t xml:space="preserve">603</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b"/>
                </m:rPr>
                <m:t>3.088</m:t>
              </m:r>
              <m:r>
                <m:rPr>
                  <m:sty m:val="b"/>
                </m:rPr>
                <m:t>±</m:t>
              </m:r>
              <m:r>
                <m:rPr>
                  <m:sty m:val="b"/>
                </m:rPr>
                <m:t>0.081</m:t>
              </m:r>
            </m:oMath>
          </w:p>
        </w:tc>
      </w:tr>
      <w:tr>
        <w:tc>
          <w:tcPr/>
          <w:p>
            <w:pPr>
              <w:pStyle w:val="Compact"/>
              <w:jc w:val="left"/>
            </w:pPr>
            <w:r>
              <w:rPr>
                <w:i/>
                <w:iCs/>
              </w:rPr>
              <w:t xml:space="preserve">Ablation and reference policies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Crisp bands</w:t>
            </w:r>
            <m:oMath>
              <m:sSup>
                <m:e>
                  <m:r>
                    <m:t>​</m:t>
                  </m:r>
                </m:e>
                <m:sup>
                  <m:r>
                    <m:t>c</m:t>
                  </m:r>
                </m:sup>
              </m:sSup>
            </m:oMath>
          </w:p>
        </w:tc>
        <w:tc>
          <w:tcPr/>
          <w:p>
            <w:pPr>
              <w:pStyle w:val="Compact"/>
              <w:jc w:val="left"/>
            </w:pPr>
            <w:r>
              <w:t xml:space="preserve">NN</w:t>
            </w:r>
          </w:p>
        </w:tc>
        <w:tc>
          <w:tcPr/>
          <w:p>
            <w:pPr>
              <w:pStyle w:val="Compact"/>
              <w:jc w:val="center"/>
            </w:pPr>
            <w:r>
              <w:t xml:space="preserve">3.068</w:t>
            </w:r>
          </w:p>
        </w:tc>
        <w:tc>
          <w:tcPr/>
          <w:p>
            <w:pPr>
              <w:pStyle w:val="Compact"/>
              <w:jc w:val="center"/>
            </w:pPr>
            <w:r>
              <w:t xml:space="preserve">0.686</w:t>
            </w:r>
          </w:p>
        </w:tc>
        <w:tc>
          <w:tcPr/>
          <w:p>
            <w:pPr>
              <w:pStyle w:val="Compact"/>
              <w:jc w:val="center"/>
            </w:pPr>
            <w:r>
              <w:t xml:space="preserve">603</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Tuned thr. </w:t>
            </w:r>
            <m:oMath>
              <m:r>
                <m:t>t</m:t>
              </m:r>
              <m:r>
                <m:rPr>
                  <m:sty m:val="p"/>
                </m:rPr>
                <m:t>=</m:t>
              </m:r>
              <m:r>
                <m:t>0.53</m:t>
              </m:r>
            </m:oMath>
          </w:p>
        </w:tc>
        <w:tc>
          <w:tcPr/>
          <w:p>
            <w:pPr>
              <w:pStyle w:val="Compact"/>
              <w:jc w:val="left"/>
            </w:pPr>
            <w:r>
              <w:t xml:space="preserve">NN</w:t>
            </w:r>
          </w:p>
        </w:tc>
        <w:tc>
          <w:tcPr/>
          <w:p>
            <w:pPr>
              <w:pStyle w:val="Compact"/>
              <w:jc w:val="center"/>
            </w:pPr>
            <w:r>
              <w:t xml:space="preserve">3.278 [3.224, 3.330]</w:t>
            </w:r>
          </w:p>
        </w:tc>
        <w:tc>
          <w:tcPr/>
          <w:p>
            <w:pPr>
              <w:pStyle w:val="Compact"/>
              <w:jc w:val="center"/>
            </w:pPr>
            <w:r>
              <w:t xml:space="preserve">0.651 [0.641, 0.659]</w:t>
            </w:r>
          </w:p>
        </w:tc>
        <w:tc>
          <w:tcPr/>
          <w:p>
            <w:pPr>
              <w:pStyle w:val="Compact"/>
              <w:jc w:val="center"/>
            </w:pPr>
            <w:r>
              <w:t xml:space="preserve">617</w:t>
            </w:r>
          </w:p>
        </w:tc>
        <w:tc>
          <w:tcPr/>
          <w:p>
            <w:pPr>
              <w:pStyle w:val="Compact"/>
              <w:jc w:val="center"/>
            </w:pPr>
            <m:oMath>
              <m:r>
                <m:rPr>
                  <m:sty m:val="p"/>
                </m:rPr>
                <m:t>+</m:t>
              </m:r>
              <m:r>
                <m:t>0.210</m:t>
              </m:r>
            </m:oMath>
            <w:r>
              <w:t xml:space="preserve"> </w:t>
            </w:r>
            <w:r>
              <w:t xml:space="preserve">[0.194, 0.228]</w:t>
            </w:r>
          </w:p>
        </w:tc>
        <w:tc>
          <w:tcPr/>
          <w:p>
            <w:pPr>
              <w:pStyle w:val="Compact"/>
              <w:jc w:val="center"/>
            </w:pPr>
            <m:oMath>
              <m:r>
                <m:t>2.3</m:t>
              </m:r>
              <m:r>
                <m:rPr>
                  <m:sty m:val="p"/>
                </m:rPr>
                <m:t>×</m:t>
              </m:r>
              <m:sSup>
                <m:e>
                  <m:r>
                    <m:t>10</m:t>
                  </m:r>
                </m:e>
                <m:sup>
                  <m:r>
                    <m:rPr>
                      <m:sty m:val="p"/>
                    </m:rPr>
                    <m:t>−</m:t>
                  </m:r>
                  <m:r>
                    <m:t>123</m:t>
                  </m:r>
                </m:sup>
              </m:sSup>
            </m:oMath>
          </w:p>
        </w:tc>
        <w:tc>
          <w:tcPr/>
          <w:p>
            <w:pPr>
              <w:pStyle w:val="Compact"/>
              <w:jc w:val="center"/>
            </w:pPr>
            <w:r>
              <w:t xml:space="preserve">–</w:t>
            </w:r>
          </w:p>
        </w:tc>
      </w:tr>
      <w:tr>
        <w:tc>
          <w:tcPr/>
          <w:p>
            <w:pPr>
              <w:pStyle w:val="Compact"/>
              <w:jc w:val="left"/>
            </w:pPr>
            <w:r>
              <w:t xml:space="preserve">Fuzzy</w:t>
            </w:r>
          </w:p>
        </w:tc>
        <w:tc>
          <w:tcPr/>
          <w:p>
            <w:pPr>
              <w:pStyle w:val="Compact"/>
              <w:jc w:val="left"/>
            </w:pPr>
            <w:r>
              <w:t xml:space="preserve">GB</w:t>
            </w:r>
          </w:p>
        </w:tc>
        <w:tc>
          <w:tcPr/>
          <w:p>
            <w:pPr>
              <w:pStyle w:val="Compact"/>
              <w:jc w:val="center"/>
            </w:pPr>
            <w:r>
              <w:t xml:space="preserve">3.004 [2.952, 3.055]</w:t>
            </w:r>
          </w:p>
        </w:tc>
        <w:tc>
          <w:tcPr/>
          <w:p>
            <w:pPr>
              <w:pStyle w:val="Compact"/>
              <w:jc w:val="center"/>
            </w:pPr>
            <w:r>
              <w:t xml:space="preserve">0.676 [0.667, 0.684]</w:t>
            </w:r>
          </w:p>
        </w:tc>
        <w:tc>
          <w:tcPr/>
          <w:p>
            <w:pPr>
              <w:pStyle w:val="Compact"/>
              <w:jc w:val="center"/>
            </w:pPr>
            <w:r>
              <w:t xml:space="preserve">222</w:t>
            </w:r>
          </w:p>
        </w:tc>
        <w:tc>
          <w:tcPr/>
          <w:p>
            <w:pPr>
              <w:pStyle w:val="Compact"/>
              <w:jc w:val="center"/>
            </w:pPr>
            <m:oMath>
              <m:r>
                <m:rPr>
                  <m:sty m:val="p"/>
                </m:rPr>
                <m:t>−</m:t>
              </m:r>
              <m:r>
                <m:t>0.064</m:t>
              </m:r>
            </m:oMath>
            <w:r>
              <w:t xml:space="preserve"> </w:t>
            </w:r>
            <w:r>
              <w:t xml:space="preserve">[</w:t>
            </w:r>
            <m:oMath>
              <m:r>
                <m:rPr>
                  <m:sty m:val="p"/>
                </m:rPr>
                <m:t>−</m:t>
              </m:r>
              <m:r>
                <m:t>0.091</m:t>
              </m:r>
            </m:oMath>
            <w:r>
              <w:t xml:space="preserve">,</w:t>
            </w:r>
            <w:r>
              <w:t xml:space="preserve"> </w:t>
            </w:r>
            <m:oMath>
              <m:r>
                <m:rPr>
                  <m:sty m:val="p"/>
                </m:rPr>
                <m:t>−</m:t>
              </m:r>
              <m:r>
                <m:t>0.037</m:t>
              </m:r>
            </m:oMath>
            <w:r>
              <w:t xml:space="preserve">]</w:t>
            </w:r>
          </w:p>
        </w:tc>
        <w:tc>
          <w:tcPr/>
          <w:p>
            <w:pPr>
              <w:pStyle w:val="Compact"/>
              <w:jc w:val="center"/>
            </w:pPr>
            <w:r>
              <w:t xml:space="preserve">0.017</w:t>
            </w:r>
          </w:p>
        </w:tc>
        <w:tc>
          <w:tcPr/>
          <w:p>
            <w:pPr>
              <w:pStyle w:val="Compact"/>
              <w:jc w:val="center"/>
            </w:pPr>
            <m:oMath>
              <m:r>
                <m:t>2.967</m:t>
              </m:r>
              <m:r>
                <m:rPr>
                  <m:sty m:val="p"/>
                </m:rPr>
                <m:t>±</m:t>
              </m:r>
              <m:r>
                <m:t>0.100</m:t>
              </m:r>
            </m:oMath>
          </w:p>
        </w:tc>
      </w:tr>
      <w:tr>
        <w:tc>
          <w:tcPr/>
          <w:p>
            <w:pPr>
              <w:pStyle w:val="Compact"/>
              <w:jc w:val="left"/>
            </w:pPr>
            <w:r>
              <w:t xml:space="preserve">Threshold 0.5</w:t>
            </w:r>
          </w:p>
        </w:tc>
        <w:tc>
          <w:tcPr/>
          <w:p>
            <w:pPr>
              <w:pStyle w:val="Compact"/>
              <w:jc w:val="left"/>
            </w:pPr>
            <w:r>
              <w:t xml:space="preserve">GB</w:t>
            </w:r>
          </w:p>
        </w:tc>
        <w:tc>
          <w:tcPr/>
          <w:p>
            <w:pPr>
              <w:pStyle w:val="Compact"/>
              <w:jc w:val="center"/>
            </w:pPr>
            <w:r>
              <w:t xml:space="preserve">3.189 [3.137, 3.241]</w:t>
            </w:r>
          </w:p>
        </w:tc>
        <w:tc>
          <w:tcPr/>
          <w:p>
            <w:pPr>
              <w:pStyle w:val="Compact"/>
              <w:jc w:val="center"/>
            </w:pPr>
            <w:r>
              <w:t xml:space="preserve">0.644 [0.635, 0.654]</w:t>
            </w:r>
          </w:p>
        </w:tc>
        <w:tc>
          <w:tcPr/>
          <w:p>
            <w:pPr>
              <w:pStyle w:val="Compact"/>
              <w:jc w:val="center"/>
            </w:pPr>
            <w:r>
              <w:t xml:space="preserve">241</w:t>
            </w:r>
          </w:p>
        </w:tc>
        <w:tc>
          <w:tcPr/>
          <w:p>
            <w:pPr>
              <w:pStyle w:val="Compact"/>
              <w:jc w:val="center"/>
            </w:pPr>
            <m:oMath>
              <m:r>
                <m:rPr>
                  <m:sty m:val="p"/>
                </m:rPr>
                <m:t>+</m:t>
              </m:r>
              <m:r>
                <m:t>0.122</m:t>
              </m:r>
            </m:oMath>
            <w:r>
              <w:t xml:space="preserve"> </w:t>
            </w:r>
            <w:r>
              <w:t xml:space="preserve">[0.093, 0.149]</w:t>
            </w:r>
          </w:p>
        </w:tc>
        <w:tc>
          <w:tcPr/>
          <w:p>
            <w:pPr>
              <w:pStyle w:val="Compact"/>
              <w:jc w:val="center"/>
            </w:pPr>
            <m:oMath>
              <m:r>
                <m:t>6.4</m:t>
              </m:r>
              <m:r>
                <m:rPr>
                  <m:sty m:val="p"/>
                </m:rPr>
                <m:t>×</m:t>
              </m:r>
              <m:sSup>
                <m:e>
                  <m:r>
                    <m:t>10</m:t>
                  </m:r>
                </m:e>
                <m:sup>
                  <m:r>
                    <m:rPr>
                      <m:sty m:val="p"/>
                    </m:rPr>
                    <m:t>−</m:t>
                  </m:r>
                  <m:r>
                    <m:t>40</m:t>
                  </m:r>
                </m:sup>
              </m:sSup>
            </m:oMath>
          </w:p>
        </w:tc>
        <w:tc>
          <w:tcPr/>
          <w:p>
            <w:pPr>
              <w:pStyle w:val="Compact"/>
              <w:jc w:val="center"/>
            </w:pPr>
            <w:r>
              <w:t xml:space="preserve">–</w:t>
            </w:r>
          </w:p>
        </w:tc>
      </w:tr>
      <w:tr>
        <w:tc>
          <w:tcPr/>
          <w:p>
            <w:pPr>
              <w:pStyle w:val="Compact"/>
              <w:jc w:val="left"/>
            </w:pPr>
            <w:r>
              <w:t xml:space="preserve">Bayes rule</w:t>
            </w:r>
            <m:oMath>
              <m:sSup>
                <m:e>
                  <m:r>
                    <m:t>​</m:t>
                  </m:r>
                </m:e>
                <m:sup>
                  <m:r>
                    <m:t>b</m:t>
                  </m:r>
                </m:sup>
              </m:sSup>
            </m:oMath>
          </w:p>
        </w:tc>
        <w:tc>
          <w:tcPr/>
          <w:p>
            <w:pPr>
              <w:pStyle w:val="Compact"/>
              <w:jc w:val="left"/>
            </w:pPr>
            <w:r>
              <w:t xml:space="preserve">NN</w:t>
            </w:r>
          </w:p>
        </w:tc>
        <w:tc>
          <w:tcPr/>
          <w:p>
            <w:pPr>
              <w:pStyle w:val="Compact"/>
              <w:jc w:val="center"/>
            </w:pPr>
            <w:r>
              <w:t xml:space="preserve">2.164 [2.113, 2.216]</w:t>
            </w:r>
          </w:p>
        </w:tc>
        <w:tc>
          <w:tcPr/>
          <w:p>
            <w:pPr>
              <w:pStyle w:val="Compact"/>
              <w:jc w:val="center"/>
            </w:pPr>
            <w:r>
              <w:t xml:space="preserve">0.701 [0.692, 0.709]</w:t>
            </w:r>
          </w:p>
        </w:tc>
        <w:tc>
          <w:tcPr/>
          <w:p>
            <w:pPr>
              <w:pStyle w:val="Compact"/>
              <w:jc w:val="center"/>
            </w:pPr>
            <w:r>
              <w:t xml:space="preserve">0</w:t>
            </w:r>
          </w:p>
        </w:tc>
        <w:tc>
          <w:tcPr/>
          <w:p>
            <w:pPr>
              <w:pStyle w:val="Compact"/>
              <w:jc w:val="center"/>
            </w:pPr>
            <m:oMath>
              <m:r>
                <m:rPr>
                  <m:sty m:val="p"/>
                </m:rPr>
                <m:t>−</m:t>
              </m:r>
              <m:r>
                <m:t>0.903</m:t>
              </m:r>
            </m:oMath>
            <w:r>
              <w:t xml:space="preserve"> </w:t>
            </w:r>
            <w:r>
              <w:t xml:space="preserve">[</w:t>
            </w:r>
            <m:oMath>
              <m:r>
                <m:rPr>
                  <m:sty m:val="p"/>
                </m:rPr>
                <m:t>−</m:t>
              </m:r>
              <m:r>
                <m:t>0.921</m:t>
              </m:r>
            </m:oMath>
            <w:r>
              <w:t xml:space="preserve">,</w:t>
            </w:r>
            <w:r>
              <w:t xml:space="preserve"> </w:t>
            </w:r>
            <m:oMath>
              <m:r>
                <m:rPr>
                  <m:sty m:val="p"/>
                </m:rPr>
                <m:t>−</m:t>
              </m:r>
              <m:r>
                <m:t>0.885</m:t>
              </m:r>
            </m:oMath>
            <w:r>
              <w:t xml:space="preserve">]</w:t>
            </w:r>
          </w:p>
        </w:tc>
        <w:tc>
          <w:tcPr/>
          <w:p>
            <w:pPr>
              <w:pStyle w:val="Compact"/>
              <w:jc w:val="center"/>
            </w:pPr>
            <m:oMath>
              <m:r>
                <m:rPr>
                  <m:sty m:val="p"/>
                </m:rPr>
                <m:t>&lt;</m:t>
              </m:r>
              <m:sSup>
                <m:e>
                  <m:r>
                    <m:t>10</m:t>
                  </m:r>
                </m:e>
                <m:sup>
                  <m:r>
                    <m:rPr>
                      <m:sty m:val="p"/>
                    </m:rPr>
                    <m:t>−</m:t>
                  </m:r>
                  <m:r>
                    <m:t>300</m:t>
                  </m:r>
                </m:sup>
              </m:sSup>
            </m:oMath>
          </w:p>
        </w:tc>
        <w:tc>
          <w:tcPr/>
          <w:p>
            <w:pPr>
              <w:pStyle w:val="Compact"/>
              <w:jc w:val="center"/>
            </w:pPr>
            <m:oMath>
              <m:r>
                <m:t>2.207</m:t>
              </m:r>
              <m:r>
                <m:rPr>
                  <m:sty m:val="p"/>
                </m:rPr>
                <m:t>±</m:t>
              </m:r>
              <m:r>
                <m:t>0.100</m:t>
              </m:r>
            </m:oMath>
          </w:p>
        </w:tc>
      </w:tr>
    </w:tbl>
    <w:p>
      <w:pPr>
        <w:pStyle w:val="CaptionedFigure"/>
      </w:pPr>
      <w:r>
        <w:drawing>
          <wp:inline>
            <wp:extent cx="5334000" cy="4415974"/>
            <wp:effectExtent b="0" l="0" r="0" t="0"/>
            <wp:docPr descr="Fig. 2. Predictive and decision evidence. (a) ROC curves (seed 42). (b) Mean triage cost of a Monitor/Escalate threshold policy versus threshold; horizontal lines: proposed, top-20% and Bayes-rule costs. (c) Sensitivity to the missed-attack cost C_{FN} (default 10, dotted). (d) Paired per-seed costs for seeds 42–51; black markers: mean \pm SD." title="" id="20" name="Picture"/>
            <a:graphic>
              <a:graphicData uri="http://schemas.openxmlformats.org/drawingml/2006/picture">
                <pic:pic>
                  <pic:nvPicPr>
                    <pic:cNvPr descr="figures/fig2_roc_and_cost.png" id="21" name="Picture"/>
                    <pic:cNvPicPr>
                      <a:picLocks noChangeArrowheads="1" noChangeAspect="1"/>
                    </pic:cNvPicPr>
                  </pic:nvPicPr>
                  <pic:blipFill>
                    <a:blip r:embed="rId19"/>
                    <a:stretch>
                      <a:fillRect/>
                    </a:stretch>
                  </pic:blipFill>
                  <pic:spPr bwMode="auto">
                    <a:xfrm>
                      <a:off x="0" y="0"/>
                      <a:ext cx="5334000" cy="4415974"/>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Predictive and decision evidence. (a) ROC curves (seed 42). (b) Mean triage cost of a Monitor/Escalate threshold policy versus threshold; horizontal lines: proposed, top-20% and Bayes-rule costs. (c) Sensitivity to the missed-attack cost</w:t>
      </w:r>
      <w:r>
        <w:t xml:space="preserve"> </w:t>
      </w:r>
      <m:oMath>
        <m:sSub>
          <m:e>
            <m:r>
              <m:t>C</m:t>
            </m:r>
          </m:e>
          <m:sub>
            <m:r>
              <m:t>F</m:t>
            </m:r>
            <m:r>
              <m:t>N</m:t>
            </m:r>
          </m:sub>
        </m:sSub>
      </m:oMath>
      <w:r>
        <w:t xml:space="preserve"> </w:t>
      </w:r>
      <w:r>
        <w:t xml:space="preserve">(default 10, dotted). (d) Paired per-seed costs for seeds 42–51; black markers: mean</w:t>
      </w:r>
      <w:r>
        <w:t xml:space="preserve"> </w:t>
      </w:r>
      <m:oMath>
        <m:r>
          <m:rPr>
            <m:sty m:val="p"/>
          </m:rPr>
          <m:t>±</m:t>
        </m:r>
      </m:oMath>
      <w:r>
        <w:t xml:space="preserve"> </w:t>
      </w:r>
      <w:r>
        <w:t xml:space="preserve">SD.</w:t>
      </w:r>
    </w:p>
    <w:p>
      <w:pPr>
        <w:pStyle w:val="BodyText"/>
      </w:pPr>
      <w:r>
        <w:rPr>
          <w:i/>
          <w:iCs/>
        </w:rPr>
        <w:t xml:space="preserve">Prediction versus decision.</w:t>
      </w:r>
      <w:r>
        <w:t xml:space="preserve"> </w:t>
      </w:r>
      <w:r>
        <w:t xml:space="preserve">Gradient boosting is the best detector (Table 1, Fig. 2a), with a higher ROC-AUC than the MLP in all ten seeds; we make no detection claim. On identical neural scores, however, the rule base lowers the mean triage cost by 0.196 units per alert relative to the 0.5 threshold and by 1.242 relative to top-20% escalation (Table 2), and raises attack coverage by 0.031 (CI 0.028–0.034). The policies differ only on the 776 Medium-band alerts; a cost-tuned threshold (</w:t>
      </w:r>
      <m:oMath>
        <m:r>
          <m:t>t</m:t>
        </m:r>
        <m:r>
          <m:rPr>
            <m:sty m:val="p"/>
          </m:rPr>
          <m:t>=</m:t>
        </m:r>
        <m:r>
          <m:t>0.53</m:t>
        </m:r>
      </m:oMath>
      <w:r>
        <w:t xml:space="preserve">) does no better. It is cheaper than both crisp rules in all ten re-runs (Fig. 2d; Wilcoxon</w:t>
      </w:r>
      <w:r>
        <w:t xml:space="preserve"> </w:t>
      </w:r>
      <m:oMath>
        <m:r>
          <m:t>p</m:t>
        </m:r>
        <m:r>
          <m:rPr>
            <m:sty m:val="p"/>
          </m:rPr>
          <m:t>=</m:t>
        </m:r>
        <m:r>
          <m:t>0.002</m:t>
        </m:r>
      </m:oMath>
      <w:r>
        <w:t xml:space="preserve"> </w:t>
      </w:r>
      <w:r>
        <w:t xml:space="preserve">for both), with higher coverage than the 0.5 threshold in every seed. At</w:t>
      </w:r>
      <w:r>
        <w:t xml:space="preserve"> </w:t>
      </w:r>
      <m:oMath>
        <m:sSub>
          <m:e>
            <m:r>
              <m:t>C</m:t>
            </m:r>
          </m:e>
          <m:sub>
            <m:r>
              <m:t>F</m:t>
            </m:r>
            <m:r>
              <m:t>N</m:t>
            </m:r>
          </m:sub>
        </m:sSub>
        <m:r>
          <m:rPr>
            <m:sty m:val="p"/>
          </m:rPr>
          <m:t>=</m:t>
        </m:r>
        <m:r>
          <m:t>10</m:t>
        </m:r>
      </m:oMath>
      <w:r>
        <w:t xml:space="preserve"> </w:t>
      </w:r>
      <w:r>
        <w:t xml:space="preserve">the saving is about 3,900 cost units per 20,000 alerts, with fewer analyst hand-offs.</w:t>
      </w:r>
    </w:p>
    <w:p>
      <w:pPr>
        <w:pStyle w:val="BodyText"/>
      </w:pPr>
      <w:r>
        <w:rPr>
          <w:i/>
          <w:iCs/>
        </w:rPr>
        <w:t xml:space="preserve">Sensitivity.</w:t>
      </w:r>
      <w:r>
        <w:t xml:space="preserve"> </w:t>
      </w:r>
      <w:r>
        <w:t xml:space="preserve">The advantage over the 0.5 threshold holds for every</w:t>
      </w:r>
      <w:r>
        <w:t xml:space="preserve"> </w:t>
      </w:r>
      <m:oMath>
        <m:sSub>
          <m:e>
            <m:r>
              <m:t>C</m:t>
            </m:r>
          </m:e>
          <m:sub>
            <m:r>
              <m:t>F</m:t>
            </m:r>
            <m:r>
              <m:t>N</m:t>
            </m:r>
          </m:sub>
        </m:sSub>
      </m:oMath>
      <w:r>
        <w:t xml:space="preserve"> </w:t>
      </w:r>
      <w:r>
        <w:t xml:space="preserve">from 2 to 30 (Fig. 2c), but top-20% escalation is cheaper when missed attacks are cheap (</w:t>
      </w:r>
      <m:oMath>
        <m:sSub>
          <m:e>
            <m:r>
              <m:t>C</m:t>
            </m:r>
          </m:e>
          <m:sub>
            <m:r>
              <m:t>F</m:t>
            </m:r>
            <m:r>
              <m:t>N</m:t>
            </m:r>
          </m:sub>
        </m:sSub>
        <m:r>
          <m:rPr>
            <m:sty m:val="p"/>
          </m:rPr>
          <m:t>=</m:t>
        </m:r>
        <m:r>
          <m:t>2</m:t>
        </m:r>
      </m:oMath>
      <w:r>
        <w:t xml:space="preserve">: 1.347 versus 1.640;</w:t>
      </w:r>
      <w:r>
        <w:t xml:space="preserve"> </w:t>
      </w:r>
      <m:oMath>
        <m:sSub>
          <m:e>
            <m:r>
              <m:t>C</m:t>
            </m:r>
          </m:e>
          <m:sub>
            <m:r>
              <m:t>F</m:t>
            </m:r>
            <m:r>
              <m:t>N</m:t>
            </m:r>
          </m:sub>
        </m:sSub>
        <m:r>
          <m:rPr>
            <m:sty m:val="p"/>
          </m:rPr>
          <m:t>=</m:t>
        </m:r>
        <m:r>
          <m:t>3</m:t>
        </m:r>
      </m:oMath>
      <w:r>
        <w:t xml:space="preserve">: 1.718 versus 1.818). Widening the Medium half-width from 0.25 to 0.45 moves the cost monotonically from 3.101 to 3.034 and coverage from 0.680 to 0.691, always beating both thresholds.</w:t>
      </w:r>
    </w:p>
    <w:p>
      <w:pPr>
        <w:pStyle w:val="BodyText"/>
      </w:pPr>
      <w:r>
        <w:rPr>
          <w:i/>
          <w:iCs/>
        </w:rPr>
        <w:t xml:space="preserve">What drives the gain (ablation).</w:t>
      </w:r>
      <w:r>
        <w:t xml:space="preserve"> </w:t>
      </w:r>
      <w:r>
        <w:t xml:space="preserve">Crisp bands at</w:t>
      </w:r>
      <w:r>
        <w:t xml:space="preserve"> </w:t>
      </w:r>
      <m:oMath>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so the benefit comes from the intermediate Soft-block band, not from fuzziness; the memberships add graded explanations and a principled way to set the bands. The Bayes rule is much cheaper (Table 2) because soft-blocking dominates escalation under Eq. (6): it contains 43% of all traffic and never involves an analyst. Managerially, when containment is this cheap the cost matrix, not the detector, sets the action mix, so organisations must calibrate</w:t>
      </w:r>
      <w:r>
        <w:t xml:space="preserve"> </w:t>
      </w:r>
      <m:oMath>
        <m:r>
          <m:t>C</m:t>
        </m:r>
      </m:oMath>
      <w:r>
        <w:t xml:space="preserve"> </w:t>
      </w:r>
      <w:r>
        <w:t xml:space="preserve">(including disruption from false containment) before automating. A test-set threshold</w:t>
      </w:r>
      <w:r>
        <w:t xml:space="preserve"> </w:t>
      </w:r>
      <m:oMath>
        <m:r>
          <m:rPr>
            <m:sty m:val="p"/>
          </m:rPr>
          <m:t>≤</m:t>
        </m:r>
        <m:r>
          <m:t>0.10</m:t>
        </m:r>
      </m:oMath>
      <w:r>
        <w:t xml:space="preserve"> </w:t>
      </w:r>
      <w:r>
        <w:t xml:space="preserve">would also beat the rule base (Fig. 2b; minimum 2.929 at</w:t>
      </w:r>
      <w:r>
        <w:t xml:space="preserve"> </w:t>
      </w:r>
      <m:oMath>
        <m:r>
          <m:t>t</m:t>
        </m:r>
        <m:r>
          <m:rPr>
            <m:sty m:val="p"/>
          </m:rPr>
          <m:t>=</m:t>
        </m:r>
        <m:r>
          <m:t>0.01</m:t>
        </m:r>
      </m:oMath>
      <w:r>
        <w:t xml:space="preserve">); validation tuning cannot find it under the train/test shift, but band positions clearly matter.</w:t>
      </w:r>
    </w:p>
    <w:p>
      <w:pPr>
        <w:pStyle w:val="BodyText"/>
      </w:pPr>
      <w:r>
        <w:rPr>
          <w:i/>
          <w:iCs/>
        </w:rPr>
        <w:t xml:space="preserve">Detector-agnostic use and explainability.</w:t>
      </w:r>
      <w:r>
        <w:t xml:space="preserve"> </w:t>
      </w:r>
      <w:r>
        <w:t xml:space="preserve">On gradient-boosting scores the unchanged rules lower the cost further and cut unnecessary escalations from 603 to 222 (Table 2), so the layer complements a stronger detector. Named rules and firing strengths, not post-hoc attribution [18,19], explain each action, supporting audit trails and human–AI teaming [2].</w:t>
      </w:r>
    </w:p>
    <w:bookmarkEnd w:id="22"/>
    <w:bookmarkStart w:id="23" w:name="limitations"/>
    <w:p>
      <w:pPr>
        <w:pStyle w:val="Heading1"/>
      </w:pPr>
      <w:r>
        <w:t xml:space="preserve">Limitations</w:t>
      </w:r>
    </w:p>
    <w:p>
      <w:pPr>
        <w:pStyle w:val="FirstParagraph"/>
      </w:pPr>
      <w:r>
        <w:rPr>
          <w:i/>
          <w:iCs/>
        </w:rPr>
        <w:t xml:space="preserve">Failure modes.</w:t>
      </w:r>
      <w:r>
        <w:t xml:space="preserve"> </w:t>
      </w:r>
      <w:r>
        <w:t xml:space="preserve">Beyond the low-</w:t>
      </w:r>
      <m:oMath>
        <m:sSub>
          <m:e>
            <m:r>
              <m:t>C</m:t>
            </m:r>
          </m:e>
          <m:sub>
            <m:r>
              <m:t>F</m:t>
            </m:r>
            <m:r>
              <m:t>N</m:t>
            </m:r>
          </m:sub>
        </m:sSub>
      </m:oMath>
      <w:r>
        <w:t xml:space="preserve"> </w:t>
      </w:r>
      <w:r>
        <w:t xml:space="preserve">case, seed 48 is the weakest replicate (cost 3.282, coverage 0.626): its MLP has a typical ROC-AUC (0.900) but the lowest accuracy at 0.5 (0.757), so fixed band positions are sensitive to the score distribution, not only to ranking. The rule base is also not cost-optimal under its own matrix (the Bayes gap); adaptive (e.g., ANFIS-style [11]) or cost-derived band positions are the next step. The bands were set by expert judgement, not on test data.</w:t>
      </w:r>
    </w:p>
    <w:p>
      <w:pPr>
        <w:pStyle w:val="BodyText"/>
      </w:pPr>
      <w:r>
        <w:rPr>
          <w:i/>
          <w:iCs/>
        </w:rPr>
        <w:t xml:space="preserve">Data and scope.</w:t>
      </w:r>
      <w:r>
        <w:t xml:space="preserve"> </w:t>
      </w:r>
      <w:r>
        <w:t xml:space="preserve">NSL-KDD (2009) is a dated laboratory benchmark that does not reflect modern enterprise, cloud or IoT traffic [27,28]. The data were subsampled, under a single train/test protocol. The cost matrix is illustrative, not elicited from a SOC; coverage counts containment as covering an attack; and there was no live deployment, drift analysis or user study.</w:t>
      </w:r>
    </w:p>
    <w:bookmarkEnd w:id="23"/>
    <w:bookmarkStart w:id="24" w:name="conclusion"/>
    <w:p>
      <w:pPr>
        <w:pStyle w:val="Heading1"/>
      </w:pPr>
      <w:r>
        <w:t xml:space="preserve">Conclusion</w:t>
      </w:r>
    </w:p>
    <w:p>
      <w:pPr>
        <w:pStyle w:val="FirstParagraph"/>
      </w:pPr>
      <w:r>
        <w:t xml:space="preserve">Treating alert triage as a knowledge-based decision problem, a fuzzy–neural rule layer beat crisp threshold and capacity rules on NSL-KDD in cost and coverage; the gain comes from the containment band, and a cost-derived Bayes rule is cheaper still. SOC managers should judge detectors by the decisions they enable and make rules and cost assumptions explicit. Future work will elicit practitioner costs and use recent, live alert data.</w:t>
      </w:r>
    </w:p>
    <w:bookmarkEnd w:id="24"/>
    <w:bookmarkStart w:id="25" w:name="data-availability"/>
    <w:p>
      <w:pPr>
        <w:pStyle w:val="Heading1"/>
      </w:pPr>
      <w:r>
        <w:t xml:space="preserve">Data availability</w:t>
      </w:r>
    </w:p>
    <w:p>
      <w:pPr>
        <w:pStyle w:val="FirstParagraph"/>
      </w:pPr>
      <w:r>
        <w:t xml:space="preserve">The NSL-KDD dataset is publicly available from the Canadian Institute for Cybersecurity, University of New Brunswick [24]. The code and results (experiment script, result tables in CSV/JSON and figure-generation code) are held in a GitHub repository that will be made public on acceptance; until then they are available to the editor and reviewers on reasonable request.</w:t>
      </w:r>
    </w:p>
    <w:bookmarkEnd w:id="25"/>
    <w:bookmarkStart w:id="26"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6"/>
    <w:bookmarkStart w:id="27"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7"/>
    <w:bookmarkStart w:id="28"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8"/>
    <w:bookmarkStart w:id="29"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9"/>
    <w:bookmarkStart w:id="30" w:name="references"/>
    <w:p>
      <w:pPr>
        <w:pStyle w:val="Heading1"/>
      </w:pPr>
      <w:r>
        <w:t xml:space="preserve">References</w:t>
      </w:r>
    </w:p>
    <w:p>
      <w:pPr>
        <w:pStyle w:val="FirstParagraph"/>
      </w:pPr>
      <w:r>
        <w:t xml:space="preserve">[1] S. Tariq, M. Baruwal Chhetri, S. Nepal, C. Paris, Alert fatigue in security operations centres: Research challenges and opportunities, ACM Computing Surveys 57 (2025) 1–38. https://doi.org/10.1145/3723158.</w:t>
      </w:r>
    </w:p>
    <w:p>
      <w:pPr>
        <w:pStyle w:val="BodyText"/>
      </w:pPr>
      <w:r>
        <w:t xml:space="preserve">[2] M. Baruwal Chhetri, S. Tariq, R. Singh, F. Jalalvand, C. Paris, S. Nepal, Towards human–AI teaming to mitigate alert fatigue in security operations centres, ACM Transactions on Internet Technology 24 (2024) 1–22. https://doi.org/10.1145/3670009.</w:t>
      </w:r>
    </w:p>
    <w:p>
      <w:pPr>
        <w:pStyle w:val="BodyText"/>
      </w:pPr>
      <w:r>
        <w:t xml:space="preserve">[3] X. Wang, X. Yang, X. Liang, X. Zhang, W. Zhang, X. Gong, Combating alert fatigue with AlertPro: Context-aware alert prioritization using reinforcement learning for multi-step attack detection, Computers &amp; Security 137 (2024) 103583. https://doi.org/10.1016/j.cose.2023.103583.</w:t>
      </w:r>
    </w:p>
    <w:p>
      <w:pPr>
        <w:pStyle w:val="BodyText"/>
      </w:pPr>
      <w:r>
        <w:t xml:space="preserve">[4] A.L. Buczak, E. Guven, A survey of data mining and machine learning methods for cyber security intrusion detection, IEEE Communications Surveys &amp; Tutorials 18 (2016) 1153–1176. https://doi.org/10.1109/COMST.2015.2494502.</w:t>
      </w:r>
    </w:p>
    <w:p>
      <w:pPr>
        <w:pStyle w:val="BodyText"/>
      </w:pPr>
      <w:r>
        <w:t xml:space="preserve">[5] A. Khraisat, I. Gondal, P. Vamplew, J. Kamruzzaman, Survey of intrusion detection systems: Techniques, datasets and challenges, Cybersecurity 2 (2019) 20. https://doi.org/10.1186/s42400-019-0038-7.</w:t>
      </w:r>
    </w:p>
    <w:p>
      <w:pPr>
        <w:pStyle w:val="BodyText"/>
      </w:pPr>
      <w:r>
        <w:t xml:space="preserve">[6] T. Su, H. Sun, J. Zhu, S. Wang, Y. Li, BAT: Deep learning methods on network intrusion detection using NSL-KDD dataset, IEEE Access 8 (2020) 29575–29585. https://doi.org/10.1109/ACCESS.2020.2972627.</w:t>
      </w:r>
    </w:p>
    <w:p>
      <w:pPr>
        <w:pStyle w:val="BodyText"/>
      </w:pPr>
      <w:r>
        <w:t xml:space="preserve">[7] N. Sun, J. Zhang, P. Rimba, S. Gao, L.Y. Zhang, Y. Xiang, Data-driven cybersecurity incident prediction: A survey, IEEE Communications Surveys &amp; Tutorials 21 (2019) 1744–1772. https://doi.org/10.1109/COMST.2018.2885561.</w:t>
      </w:r>
    </w:p>
    <w:p>
      <w:pPr>
        <w:pStyle w:val="BodyText"/>
      </w:pPr>
      <w:r>
        <w:t xml:space="preserve">[8] G. Vial, Understanding digital transformation: A review and a research agenda, The Journal of Strategic Information Systems 28 (2019) 118–144. https://doi.org/10.1016/j.jsis.2019.01.003.</w:t>
      </w:r>
    </w:p>
    <w:p>
      <w:pPr>
        <w:pStyle w:val="BodyText"/>
      </w:pPr>
      <w:r>
        <w:t xml:space="preserve">[9] F. Provost, T. Fawcett, Data science and its relationship to big data and data-driven decision making, Big Data 1 (2013) 51–59. https://doi.org/10.1089/big.2013.1508.</w:t>
      </w:r>
    </w:p>
    <w:p>
      <w:pPr>
        <w:pStyle w:val="BodyText"/>
      </w:pPr>
      <w:r>
        <w:t xml:space="preserve">[10] L.A. Zadeh, Fuzzy sets, Information and Control 8 (1965) 338–353. https://doi.org/10.1016/S0019-9958(65)90241-X.</w:t>
      </w:r>
    </w:p>
    <w:p>
      <w:pPr>
        <w:pStyle w:val="BodyText"/>
      </w:pPr>
      <w:r>
        <w:t xml:space="preserve">[11] J.-S.R. Jang, ANFIS: Adaptive-network-based fuzzy inference system, IEEE Transactions on Systems, Man, and Cybernetics 23 (1993) 665–685. https://doi.org/10.1109/21.256541.</w:t>
      </w:r>
    </w:p>
    <w:p>
      <w:pPr>
        <w:pStyle w:val="BodyText"/>
      </w:pPr>
      <w:r>
        <w:t xml:space="preserve">[12] P.V. de Campos Souza, Fuzzy neural networks and neuro-fuzzy networks: A review the main techniques and applications used in the literature, Applied Soft Computing 92 (2020) 106275. https://doi.org/10.1016/j.asoc.2020.106275.</w:t>
      </w:r>
    </w:p>
    <w:p>
      <w:pPr>
        <w:pStyle w:val="BodyText"/>
      </w:pPr>
      <w:r>
        <w:t xml:space="preserve">[13] D. Srilatha, G.K. Shyam, Cloud-based intrusion detection using kernel fuzzy clustering and optimal type-2 fuzzy neural network, Cluster Computing 24 (2021) 2657–2672. https://doi.org/10.1007/s10586-021-03281-9.</w:t>
      </w:r>
    </w:p>
    <w:p>
      <w:pPr>
        <w:pStyle w:val="BodyText"/>
      </w:pPr>
      <w:r>
        <w:t xml:space="preserve">[14] J. Liu, W. Yinchai, T.C. Siong, X. Li, L. Zhao, F. Wei, On the combination of adaptive neuro-fuzzy inference system and deep residual network for improving detection rates on intrusion detection, PLOS ONE 17 (2022) e0278819. https://doi.org/10.1371/journal.pone.0278819.</w:t>
      </w:r>
    </w:p>
    <w:p>
      <w:pPr>
        <w:pStyle w:val="BodyText"/>
      </w:pPr>
      <w:r>
        <w:t xml:space="preserve">[15] J. Liu, W. Yinchai, T.C. Siong, X. Li, L. Zhao, F. Wei, A hybrid interpretable deep structure based on adaptive neuro-fuzzy inference system, decision tree, and K-means for intrusion detection, Scientific Reports 12 (2022) 20770. https://doi.org/10.1038/s41598-022-23765-x.</w:t>
      </w:r>
    </w:p>
    <w:p>
      <w:pPr>
        <w:pStyle w:val="BodyText"/>
      </w:pPr>
      <w:r>
        <w:t xml:space="preserve">[16] C. Elkan, The foundations of cost-sensitive learning, in: Proceedings of the 17th International Joint Conference on Artificial Intelligence (IJCAI), 2001: pp. 973–978.</w:t>
      </w:r>
    </w:p>
    <w:p>
      <w:pPr>
        <w:pStyle w:val="BodyText"/>
      </w:pPr>
      <w:r>
        <w:t xml:space="preserve">[17] A. Telikani, N.E. Rudbardeh, S. Soleymanpour, A. Shahbahrami, J. Shen, G. Gaydadjiev, R. Hassanpour, A cost-sensitive machine learning model with multitask learning for intrusion detection in IoT, IEEE Transactions on Industrial Informatics 20 (2024) 3880–3890. https://doi.org/10.1109/TII.2023.3314208.</w:t>
      </w:r>
    </w:p>
    <w:p>
      <w:pPr>
        <w:pStyle w:val="BodyText"/>
      </w:pPr>
      <w:r>
        <w:t xml:space="preserve">[18] S.M. Lundberg, S.-I. Lee, A unified approach to interpreting model predictions, Advances in Neural Information Processing Systems 30 (2017). https://doi.org/10.48550/arXiv.1705.07874.</w:t>
      </w:r>
    </w:p>
    <w:p>
      <w:pPr>
        <w:pStyle w:val="BodyText"/>
      </w:pPr>
      <w:r>
        <w:t xml:space="preserve">[19] V.Z. Mohale, I.C. Obagbuwa, A systematic review on the integration of explainable artificial intelligence in intrusion detection systems to enhancing transparency and interpretability in cybersecurity, Frontiers in Artificial Intelligence 8 (2025) 1526221. https://doi.org/10.3389/frai.2025.1526221.</w:t>
      </w:r>
    </w:p>
    <w:p>
      <w:pPr>
        <w:pStyle w:val="BodyText"/>
      </w:pPr>
      <w:r>
        <w:t xml:space="preserve">[20] S. AL, S. Sagiroglu, Explainable artificial intelligence models in intrusion detection systems, Engineering Applications of Artificial Intelligence 144 (2025) 110145. https://doi.org/10.1016/j.engappai.2025.110145.</w:t>
      </w:r>
    </w:p>
    <w:p>
      <w:pPr>
        <w:pStyle w:val="BodyText"/>
      </w:pPr>
      <w:r>
        <w:t xml:space="preserve">[21] S. Bag, S. Sarkar, I. Bose, Enhancing cybersecurity risk assessment using temporal knowledge graph-based explainable decision support system, Decision Support Systems 198 (2025) 114526. https://doi.org/10.1016/j.dss.2025.114526.</w:t>
      </w:r>
    </w:p>
    <w:p>
      <w:pPr>
        <w:pStyle w:val="BodyText"/>
      </w:pPr>
      <w:r>
        <w:t xml:space="preserve">[22] J.H. Friedman, Greedy function approximation: A gradient boosting machine, The Annals of Statistics 29 (2001) 1189–1232. https://doi.org/10.1214/aos/1013203451.</w:t>
      </w:r>
    </w:p>
    <w:p>
      <w:pPr>
        <w:pStyle w:val="BodyText"/>
      </w:pPr>
      <w:r>
        <w:t xml:space="preserve">[23] I. Goodfellow, Y. Bengio, A. Courville, Deep Learning, MIT Press, Cambridge, MA, 2016.</w:t>
      </w:r>
    </w:p>
    <w:p>
      <w:pPr>
        <w:pStyle w:val="BodyText"/>
      </w:pPr>
      <w:r>
        <w:t xml:space="preserve">[24] M. Tavallaee, E. Bagheri, W. Lu, A.A. Ghorbani, A detailed analysis of the KDD CUP 99 data set, in: Proceedings of the 2009 IEEE Symposium on Computational Intelligence for Security and Defense Applications (CISDA), 2009: pp. 1–6. https://doi.org/10.1109/CISDA.2009.5356528.</w:t>
      </w:r>
    </w:p>
    <w:p>
      <w:pPr>
        <w:pStyle w:val="BodyText"/>
      </w:pPr>
      <w:r>
        <w:t xml:space="preserve">[25] B. Efron, R.J. Tibshirani, An Introduction to the Bootstrap, Chapman &amp; Hall/CRC, New York, 1994. https://doi.org/10.1201/9780429246593.</w:t>
      </w:r>
    </w:p>
    <w:p>
      <w:pPr>
        <w:pStyle w:val="BodyText"/>
      </w:pPr>
      <w:r>
        <w:t xml:space="preserve">[26] F. Wilcoxon, Individual comparisons by ranking methods, Biometrics Bulletin 1 (1945) 80–83. https://doi.org/10.2307/3001968.</w:t>
      </w:r>
    </w:p>
    <w:p>
      <w:pPr>
        <w:pStyle w:val="BodyText"/>
      </w:pPr>
      <w:r>
        <w:t xml:space="preserve">[27] M. Ring, S. Wunderlich, D. Scheuring, D. Landes, A. Hotho, A survey of network-based intrusion detection data sets, Computers &amp; Security 86 (2019) 147–167. https://doi.org/10.1016/j.cose.2019.06.005.</w:t>
      </w:r>
    </w:p>
    <w:p>
      <w:pPr>
        <w:pStyle w:val="BodyText"/>
      </w:pPr>
      <w:r>
        <w:t xml:space="preserve">[28] M.A. Al-Garadi, A. Mohamed, A.K. Al-Ali, X. Du, I. Ali, M. Guizani, A survey of machine and deep learning methods for Internet of Things (IoT) security, IEEE Communications Surveys &amp; Tutorials 22 (2020) 1646–1685. https://doi.org/10.1109/COMST.2020.2988293.</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
  <cp:keywords/>
  <dcterms:created xsi:type="dcterms:W3CDTF">2026-10-23T14:10:13Z</dcterms:created>
  <dcterms:modified xsi:type="dcterms:W3CDTF">2026-10-23T14:10:13Z</dcterms:modified>
</cp:coreProperties>
</file>

<file path=docProps/custom.xml><?xml version="1.0" encoding="utf-8"?>
<Properties xmlns="http://schemas.openxmlformats.org/officeDocument/2006/custom-properties" xmlns:vt="http://schemas.openxmlformats.org/officeDocument/2006/docPropsVTypes"/>
</file>