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Fuzzy–Neural Decision Intelligence for Cost-Aware Cyber Alert Triage</w:t>
      </w:r>
    </w:p>
    <w:p>
      <w:pPr>
        <w:pStyle w:val="FirstParagraph"/>
      </w:pPr>
      <w:r>
        <w:rPr>
          <w:b/>
          <w:bCs/>
        </w:rPr>
        <w:t xml:space="preserve">Article type:</w:t>
      </w:r>
      <w:r>
        <w:t xml:space="preserve"> </w:t>
      </w:r>
      <w:r>
        <w:t xml:space="preserve">Short Communication —</w:t>
      </w:r>
      <w:r>
        <w:t xml:space="preserve"> </w:t>
      </w:r>
      <w:r>
        <w:rPr>
          <w:i/>
          <w:iCs/>
        </w:rPr>
        <w:t xml:space="preserve">Knowledge-Based Systems</w:t>
      </w:r>
      <w:r>
        <w:t xml:space="preserve"> </w:t>
      </w:r>
      <w:r>
        <w:t xml:space="preserve">(Elsevier)</w:t>
      </w:r>
      <w:r>
        <w:br/>
      </w:r>
      <w:r>
        <w:rPr>
          <w:b/>
          <w:bCs/>
        </w:rPr>
        <w:t xml:space="preserve">Author:</w:t>
      </w:r>
      <w:r>
        <w:t xml:space="preserve"> </w:t>
      </w:r>
      <w:r>
        <w:t xml:space="preserve">Sai Nithin Erigineni, DBA, Midwest University, 851 Parr Rd, Wentzville, MO 63385, United States (corresponding author: serigineni@midwest.edu)</w:t>
      </w:r>
      <w:r>
        <w:br/>
      </w:r>
      <w:r>
        <w:rPr>
          <w:b/>
          <w:bCs/>
        </w:rPr>
        <w:t xml:space="preserve">Code and results:</w:t>
      </w:r>
      <w:r>
        <w:t xml:space="preserve"> </w:t>
      </w:r>
      <w:hyperlink r:id="rId9">
        <w:r>
          <w:rPr>
            <w:rStyle w:val="Hyperlink"/>
          </w:rPr>
          <w:t xml:space="preserve">https://github.com/nithin427/fuzzy-neural-cyber-triage</w:t>
        </w:r>
      </w:hyperlink>
      <w:r>
        <w:t xml:space="preserve"> </w:t>
      </w:r>
      <w:r>
        <w:t xml:space="preserve">(public)</w:t>
      </w:r>
    </w:p>
    <w:bookmarkStart w:id="10" w:name="abstract"/>
    <w:p>
      <w:pPr>
        <w:pStyle w:val="Heading1"/>
      </w:pPr>
      <w:r>
        <w:t xml:space="preserve">Abstract</w:t>
      </w:r>
    </w:p>
    <w:p>
      <w:pPr>
        <w:pStyle w:val="FirstParagraph"/>
      </w:pPr>
      <w:r>
        <w:t xml:space="preserve">Security operations centres (SOCs) receive risk scores from machine-learning detectors, yet the step from score to action is usually a single hand-set threshold. We treat alert triage as a knowledge-based decision problem: a multilayer perceptron (MLP) estimates attack propensity, fuzzy membership functions map it to Low, Medium and High risk bands, and three production rules assign Monitor, Soft-block or Escalate under an explicit cost matrix. On NSL-KDD (20,000 test alerts), gradient boosting is the stronger detector (ROC-AUC 0.947 versus 0.908), but on the same MLP scores the rule base lowers the mean triage cost to 3.068 (95% CI [3.016, 3.118]) from 3.264 for a 0.5 threshold and 4.309 for top-20% escalation, and raises attack coverage from 0.655 to 0.686 (Wilcoxon</w:t>
      </w:r>
      <w:r>
        <w:t xml:space="preserve"> </w:t>
      </w:r>
      <m:oMath>
        <m:r>
          <m:t>p</m:t>
        </m:r>
        <m:r>
          <m:rPr>
            <m:sty m:val="p"/>
          </m:rPr>
          <m:t>&lt;</m:t>
        </m:r>
        <m:sSup>
          <m:e>
            <m:r>
              <m:t>10</m:t>
            </m:r>
          </m:e>
          <m:sup>
            <m:r>
              <m:rPr>
                <m:sty m:val="p"/>
              </m:rPr>
              <m:t>−</m:t>
            </m:r>
            <m:r>
              <m:t>100</m:t>
            </m:r>
          </m:sup>
        </m:sSup>
      </m:oMath>
      <w:r>
        <w:t xml:space="preserve">). It is cheaper than both crisp rules in all ten repeated runs (</w:t>
      </w:r>
      <m:oMath>
        <m:r>
          <m:t>p</m:t>
        </m:r>
        <m:r>
          <m:rPr>
            <m:sty m:val="p"/>
          </m:rPr>
          <m:t>=</m:t>
        </m:r>
        <m:r>
          <m:t>0.002</m:t>
        </m:r>
      </m:oMath>
      <w:r>
        <w:t xml:space="preserve">) and than the threshold at every tested missed-attack cost from 2 to 30. Ablations bound the claim: the gain comes from the Soft-block band, and a Bayes cost rule is cheaper still (2.164). The contribution is an auditable decision layer with a decision-centric evaluation, not a new detector.</w:t>
      </w:r>
    </w:p>
    <w:p>
      <w:pPr>
        <w:pStyle w:val="BodyText"/>
      </w:pPr>
      <w:r>
        <w:rPr>
          <w:b/>
          <w:bCs/>
        </w:rPr>
        <w:t xml:space="preserve">Keywords:</w:t>
      </w:r>
      <w:r>
        <w:t xml:space="preserve"> </w:t>
      </w:r>
      <w:r>
        <w:t xml:space="preserve">Fuzzy logic; Neural networks; Decision intelligence; Intrusion detection; Alert triage; Cost-sensitive decisions; Knowledge-based systems</w:t>
      </w:r>
    </w:p>
    <w:bookmarkEnd w:id="10"/>
    <w:bookmarkStart w:id="11" w:name="introduction"/>
    <w:p>
      <w:pPr>
        <w:pStyle w:val="Heading1"/>
      </w:pPr>
      <w:r>
        <w:t xml:space="preserve">Introduction</w:t>
      </w:r>
    </w:p>
    <w:p>
      <w:pPr>
        <w:pStyle w:val="FirstParagraph"/>
      </w:pPr>
      <w:r>
        <w:t xml:space="preserve">Security operations centres (SOCs) centralise the handling of security alerts [1], yet analysts receive more alerts than they can investigate, and alert fatigue is a central operational risk [2,3]. Intrusion-detection research, from classical data mining [4,5] to deep networks on NSL-KDD [6,7], usually stops at a score judged by accuracy or the area under the receiver operating characteristic curve (ROC-AUC). A SOC manager must instead decide, under finite analyst capacity and asymmetric error costs, which alerts to monitor, contain or escalate: a data-driven decision task [8,9].</w:t>
      </w:r>
    </w:p>
    <w:p>
      <w:pPr>
        <w:pStyle w:val="BodyText"/>
      </w:pPr>
      <w:r>
        <w:t xml:space="preserve">Fuzzy and neuro-fuzzy systems suit this step because they express learned evidence as linguistic rules that operators can audit [10–13]. Table 1 shows the gap. Fuzzy intrusion detectors use rules to raise accuracy but output a binary alarm [14–16]; cost-sensitive learning [17,18] enters intrusion detection through training losses [19,20], not through the choice of action; explainable AI (XAI) explains scores after the fact [21–23]; and reinforcement-learning prioritisation ranks alerts without assigning actions [24]. Knowledge-based decision support [25] shows the value of explicit knowledge, but none of these studies combines an action-cost model, readable rules and graded responses.</w:t>
      </w:r>
    </w:p>
    <w:p>
      <w:pPr>
        <w:pStyle w:val="TableCaption"/>
      </w:pPr>
      <w:r>
        <w:rPr>
          <w:b/>
          <w:bCs/>
        </w:rPr>
        <w:t xml:space="preserve">Table 1.</w:t>
      </w:r>
      <w:r>
        <w:t xml:space="preserve"> </w:t>
      </w:r>
      <w:r>
        <w:t xml:space="preserve">Related work by design property. Only this work couples an explicit action-cost model, readable rules and graded SOC actions with significance tests; the cited studies end in an alarm, a class label or a ranking. Properties, not accuracies, are compared, because data sets and tasks differ.</w:t>
      </w:r>
    </w:p>
    <w:tbl>
      <w:tblPr>
        <w:tblStyle w:val="Table"/>
        <w:tblW w:type="pct" w:w="5000"/>
        <w:tblLayout w:type="fixed"/>
        <w:tblLook w:firstRow="1" w:lastRow="0" w:firstColumn="0" w:lastColumn="0" w:noHBand="0" w:noVBand="0" w:val="0020"/>
        <w:tblCaption w:val="Table 1. Related work by design property. Only this work couples an explicit action-cost model, readable rules and graded SOC actions with significance tests; the cited studies end in an alarm, a class label or a ranking. Properties, not accuracies, are compared, because data sets and tasks differ."/>
      </w:tblPr>
      <w:tblGrid>
        <w:gridCol w:w="1131"/>
        <w:gridCol w:w="1131"/>
        <w:gridCol w:w="1131"/>
        <w:gridCol w:w="1131"/>
        <w:gridCol w:w="1131"/>
        <w:gridCol w:w="1131"/>
        <w:gridCol w:w="1131"/>
      </w:tblGrid>
      <w:tr>
        <w:trPr>
          <w:tblHeader w:val="on"/>
        </w:trPr>
        <w:tc>
          <w:tcPr/>
          <w:p>
            <w:pPr>
              <w:pStyle w:val="Compact"/>
              <w:jc w:val="left"/>
            </w:pPr>
            <w:r>
              <w:t xml:space="preserve">Study</w:t>
            </w:r>
          </w:p>
        </w:tc>
        <w:tc>
          <w:tcPr/>
          <w:p>
            <w:pPr>
              <w:pStyle w:val="Compact"/>
              <w:jc w:val="left"/>
            </w:pPr>
            <w:r>
              <w:t xml:space="preserve">Approach</w:t>
            </w:r>
          </w:p>
        </w:tc>
        <w:tc>
          <w:tcPr/>
          <w:p>
            <w:pPr>
              <w:pStyle w:val="Compact"/>
              <w:jc w:val="left"/>
            </w:pPr>
            <w:r>
              <w:t xml:space="preserve">Data</w:t>
            </w:r>
          </w:p>
        </w:tc>
        <w:tc>
          <w:tcPr/>
          <w:p>
            <w:pPr>
              <w:pStyle w:val="Compact"/>
              <w:jc w:val="center"/>
            </w:pPr>
            <w:r>
              <w:t xml:space="preserve">Cost</w:t>
            </w:r>
          </w:p>
        </w:tc>
        <w:tc>
          <w:tcPr/>
          <w:p>
            <w:pPr>
              <w:pStyle w:val="Compact"/>
              <w:jc w:val="center"/>
            </w:pPr>
            <w:r>
              <w:t xml:space="preserve">Rules</w:t>
            </w:r>
          </w:p>
        </w:tc>
        <w:tc>
          <w:tcPr/>
          <w:p>
            <w:pPr>
              <w:pStyle w:val="Compact"/>
              <w:jc w:val="center"/>
            </w:pPr>
            <w:r>
              <w:t xml:space="preserve">Graded</w:t>
            </w:r>
          </w:p>
        </w:tc>
        <w:tc>
          <w:tcPr/>
          <w:p>
            <w:pPr>
              <w:pStyle w:val="Compact"/>
              <w:jc w:val="center"/>
            </w:pPr>
            <w:r>
              <w:t xml:space="preserve">Tests</w:t>
            </w:r>
          </w:p>
        </w:tc>
      </w:tr>
      <w:tr>
        <w:tc>
          <w:tcPr/>
          <w:p>
            <w:pPr>
              <w:pStyle w:val="Compact"/>
              <w:jc w:val="left"/>
            </w:pPr>
            <w:r>
              <w:rPr>
                <w:i/>
                <w:iCs/>
              </w:rPr>
              <w:t xml:space="preserve">Fuzzy and neuro-fuzzy intrusion detection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Toosi [14]</w:t>
            </w:r>
          </w:p>
        </w:tc>
        <w:tc>
          <w:tcPr/>
          <w:p>
            <w:pPr>
              <w:pStyle w:val="Compact"/>
              <w:jc w:val="left"/>
            </w:pPr>
            <w:r>
              <w:t xml:space="preserve">ANFIS + GA-tuned fuzzy rules</w:t>
            </w:r>
          </w:p>
        </w:tc>
        <w:tc>
          <w:tcPr/>
          <w:p>
            <w:pPr>
              <w:pStyle w:val="Compact"/>
              <w:jc w:val="left"/>
            </w:pPr>
            <w:r>
              <w:t xml:space="preserve">KDD Cup 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Hamamoto [15]</w:t>
            </w:r>
          </w:p>
        </w:tc>
        <w:tc>
          <w:tcPr/>
          <w:p>
            <w:pPr>
              <w:pStyle w:val="Compact"/>
              <w:jc w:val="left"/>
            </w:pPr>
            <w:r>
              <w:t xml:space="preserve">GA flow signature + fuzzy logic</w:t>
            </w:r>
          </w:p>
        </w:tc>
        <w:tc>
          <w:tcPr/>
          <w:p>
            <w:pPr>
              <w:pStyle w:val="Compact"/>
              <w:jc w:val="left"/>
            </w:pPr>
            <w:r>
              <w:t xml:space="preserve">Campus IP flows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n.r.</w:t>
            </w:r>
          </w:p>
        </w:tc>
      </w:tr>
      <w:tr>
        <w:tc>
          <w:tcPr/>
          <w:p>
            <w:pPr>
              <w:pStyle w:val="Compact"/>
              <w:jc w:val="left"/>
            </w:pPr>
            <w:r>
              <w:t xml:space="preserve">Alalhareth [16]</w:t>
            </w:r>
          </w:p>
        </w:tc>
        <w:tc>
          <w:tcPr/>
          <w:p>
            <w:pPr>
              <w:pStyle w:val="Compact"/>
              <w:jc w:val="left"/>
            </w:pPr>
            <w:r>
              <w:t xml:space="preserve">LSTM, fuzzy-tuned training</w:t>
            </w:r>
          </w:p>
        </w:tc>
        <w:tc>
          <w:tcPr/>
          <w:p>
            <w:pPr>
              <w:pStyle w:val="Compact"/>
              <w:jc w:val="left"/>
            </w:pPr>
            <w:r>
              <w:t xml:space="preserve">WUSTL-EHMS-2020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rPr>
                <w:i/>
                <w:iCs/>
              </w:rPr>
              <w:t xml:space="preserve">Deep and cost-sensitive detectors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Vinayakumar [6]</w:t>
            </w:r>
          </w:p>
        </w:tc>
        <w:tc>
          <w:tcPr/>
          <w:p>
            <w:pPr>
              <w:pStyle w:val="Compact"/>
              <w:jc w:val="left"/>
            </w:pPr>
            <w:r>
              <w:t xml:space="preserve">Deep neural network</w:t>
            </w:r>
          </w:p>
        </w:tc>
        <w:tc>
          <w:tcPr/>
          <w:p>
            <w:pPr>
              <w:pStyle w:val="Compact"/>
              <w:jc w:val="left"/>
            </w:pPr>
            <w:r>
              <w:t xml:space="preserve">NSL-KDD and 5 others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Su [7]</w:t>
            </w:r>
          </w:p>
        </w:tc>
        <w:tc>
          <w:tcPr/>
          <w:p>
            <w:pPr>
              <w:pStyle w:val="Compact"/>
              <w:jc w:val="left"/>
            </w:pPr>
            <w:r>
              <w:t xml:space="preserve">BLSTM + attention (BAT-MC)</w:t>
            </w:r>
          </w:p>
        </w:tc>
        <w:tc>
          <w:tcPr/>
          <w:p>
            <w:pPr>
              <w:pStyle w:val="Compact"/>
              <w:jc w:val="left"/>
            </w:pPr>
            <w:r>
              <w:t xml:space="preserve">NSL-KDD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Gupta [19]</w:t>
            </w:r>
          </w:p>
        </w:tc>
        <w:tc>
          <w:tcPr/>
          <w:p>
            <w:pPr>
              <w:pStyle w:val="Compact"/>
              <w:jc w:val="left"/>
            </w:pPr>
            <w:r>
              <w:t xml:space="preserve">Cost-sensitive DNN ensemble</w:t>
            </w:r>
          </w:p>
        </w:tc>
        <w:tc>
          <w:tcPr/>
          <w:p>
            <w:pPr>
              <w:pStyle w:val="Compact"/>
              <w:jc w:val="left"/>
            </w:pPr>
            <w:r>
              <w:t xml:space="preserve">NSL-KDD and 2 others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n.r.</w:t>
            </w:r>
          </w:p>
        </w:tc>
      </w:tr>
      <w:tr>
        <w:tc>
          <w:tcPr/>
          <w:p>
            <w:pPr>
              <w:pStyle w:val="Compact"/>
              <w:jc w:val="left"/>
            </w:pPr>
            <w:r>
              <w:t xml:space="preserve">Telikani [20]</w:t>
            </w:r>
          </w:p>
        </w:tc>
        <w:tc>
          <w:tcPr/>
          <w:p>
            <w:pPr>
              <w:pStyle w:val="Compact"/>
              <w:jc w:val="left"/>
            </w:pPr>
            <w:r>
              <w:t xml:space="preserve">Cost-sensitive AE + SVM</w:t>
            </w:r>
          </w:p>
        </w:tc>
        <w:tc>
          <w:tcPr/>
          <w:p>
            <w:pPr>
              <w:pStyle w:val="Compact"/>
              <w:jc w:val="left"/>
            </w:pPr>
            <w:r>
              <w:t xml:space="preserve">UNSW-NB15, BoT-IoT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n.r.</w:t>
            </w:r>
          </w:p>
        </w:tc>
      </w:tr>
      <w:tr>
        <w:tc>
          <w:tcPr/>
          <w:p>
            <w:pPr>
              <w:pStyle w:val="Compact"/>
              <w:jc w:val="left"/>
            </w:pPr>
            <w:r>
              <w:rPr>
                <w:i/>
                <w:iCs/>
              </w:rPr>
              <w:t xml:space="preserve">Explanation, prioritisation and decision support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Wang [22]</w:t>
            </w:r>
          </w:p>
        </w:tc>
        <w:tc>
          <w:tcPr/>
          <w:p>
            <w:pPr>
              <w:pStyle w:val="Compact"/>
              <w:jc w:val="left"/>
            </w:pPr>
            <w:r>
              <w:t xml:space="preserve">SHAP explanations</w:t>
            </w:r>
          </w:p>
        </w:tc>
        <w:tc>
          <w:tcPr/>
          <w:p>
            <w:pPr>
              <w:pStyle w:val="Compact"/>
              <w:jc w:val="left"/>
            </w:pPr>
            <w:r>
              <w:t xml:space="preserve">NSL-KDD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Alabbadi [23]</w:t>
            </w:r>
          </w:p>
        </w:tc>
        <w:tc>
          <w:tcPr/>
          <w:p>
            <w:pPr>
              <w:pStyle w:val="Compact"/>
              <w:jc w:val="left"/>
            </w:pPr>
            <w:r>
              <w:t xml:space="preserve">CNN/DNN/TabNet + XAI</w:t>
            </w:r>
          </w:p>
        </w:tc>
        <w:tc>
          <w:tcPr/>
          <w:p>
            <w:pPr>
              <w:pStyle w:val="Compact"/>
              <w:jc w:val="left"/>
            </w:pPr>
            <w:r>
              <w:t xml:space="preserve">TON_IoT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n.r.</w:t>
            </w:r>
          </w:p>
        </w:tc>
      </w:tr>
      <w:tr>
        <w:tc>
          <w:tcPr/>
          <w:p>
            <w:pPr>
              <w:pStyle w:val="Compact"/>
              <w:jc w:val="left"/>
            </w:pPr>
            <w:r>
              <w:t xml:space="preserve">Wang [24]</w:t>
            </w:r>
          </w:p>
        </w:tc>
        <w:tc>
          <w:tcPr/>
          <w:p>
            <w:pPr>
              <w:pStyle w:val="Compact"/>
              <w:jc w:val="left"/>
            </w:pPr>
            <w:r>
              <w:t xml:space="preserve">RL alert prioritisation</w:t>
            </w:r>
          </w:p>
        </w:tc>
        <w:tc>
          <w:tcPr/>
          <w:p>
            <w:pPr>
              <w:pStyle w:val="Compact"/>
              <w:jc w:val="left"/>
            </w:pPr>
            <w:r>
              <w:t xml:space="preserve">5 multi-step sets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n.r.</w:t>
            </w:r>
          </w:p>
        </w:tc>
      </w:tr>
      <w:tr>
        <w:tc>
          <w:tcPr/>
          <w:p>
            <w:pPr>
              <w:pStyle w:val="Compact"/>
              <w:jc w:val="left"/>
            </w:pPr>
            <w:r>
              <w:t xml:space="preserve">Bag [25]</w:t>
            </w:r>
          </w:p>
        </w:tc>
        <w:tc>
          <w:tcPr/>
          <w:p>
            <w:pPr>
              <w:pStyle w:val="Compact"/>
              <w:jc w:val="left"/>
            </w:pPr>
            <w:r>
              <w:t xml:space="preserve">Temporal knowledge-graph DSS</w:t>
            </w:r>
          </w:p>
        </w:tc>
        <w:tc>
          <w:tcPr/>
          <w:p>
            <w:pPr>
              <w:pStyle w:val="Compact"/>
              <w:jc w:val="left"/>
            </w:pPr>
            <w:r>
              <w:t xml:space="preserve">190 firms + 4 sets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rPr>
                <w:b/>
                <w:bCs/>
              </w:rPr>
              <w:t xml:space="preserve">This work</w:t>
            </w:r>
          </w:p>
        </w:tc>
        <w:tc>
          <w:tcPr/>
          <w:p>
            <w:pPr>
              <w:pStyle w:val="Compact"/>
              <w:jc w:val="left"/>
            </w:pPr>
            <w:r>
              <w:rPr>
                <w:b/>
                <w:bCs/>
              </w:rPr>
              <w:t xml:space="preserve">MLP + fuzzy rules</w:t>
            </w:r>
            <w:r>
              <w:rPr>
                <w:b/>
                <w:bCs/>
              </w:rPr>
              <w:t xml:space="preserve"> </w:t>
            </w:r>
            <m:oMath>
              <m:sSub>
                <m:e>
                  <m:r>
                    <m:t>R</m:t>
                  </m:r>
                </m:e>
                <m:sub>
                  <m:r>
                    <m:t>1</m:t>
                  </m:r>
                </m:sub>
              </m:sSub>
            </m:oMath>
            <w:r>
              <w:rPr>
                <w:b/>
                <w:bCs/>
              </w:rPr>
              <w:t xml:space="preserve">–</w:t>
            </w:r>
            <m:oMath>
              <m:sSub>
                <m:e>
                  <m:r>
                    <m:t>R</m:t>
                  </m:r>
                </m:e>
                <m:sub>
                  <m:r>
                    <m:t>3</m:t>
                  </m:r>
                </m:sub>
              </m:sSub>
            </m:oMath>
          </w:p>
        </w:tc>
        <w:tc>
          <w:tcPr/>
          <w:p>
            <w:pPr>
              <w:pStyle w:val="Compact"/>
              <w:jc w:val="left"/>
            </w:pPr>
            <w:r>
              <w:rPr>
                <w:b/>
                <w:bCs/>
              </w:rPr>
              <w:t xml:space="preserve">NSL-KDD, 10 seeds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i/>
          <w:iCs/>
        </w:rPr>
        <w:t xml:space="preserve">Note.</w:t>
      </w:r>
      <w:r>
        <w:t xml:space="preserve"> </w:t>
      </w:r>
      <w:r>
        <w:t xml:space="preserve">Cost: actions chosen under an explicit cost model; Rules: operator-readable decision logic; Graded: more than two actions; Tests: significance tests or CIs. ✓ present; (✓) partial (cost in training or binary decision only; post hoc explanation; ranking without actions); × absent; n.r. not reported in the accessible text. AE: autoencoder; (B)LSTM: (bidirectional) long short-term memory; DNN: deep neural network; DSS: decision support system; GA: genetic algorithm; RL: reinforcement learning; SHAP: Shapley additive explanations; SVM: support vector machine.</w:t>
      </w:r>
    </w:p>
    <w:p>
      <w:pPr>
        <w:pStyle w:val="BodyText"/>
      </w:pPr>
      <w:r>
        <w:t xml:space="preserve">This Short Communication contributes (i) a knowledge-based layer that maps neural propensity to fuzzy risk bands and then to SOC actions through a stated production-rule base (Section 2); (ii) a decision-centric evaluation with paired tests, repeated runs and sensitivity sweeps (Sections 3 and 4); and (iii) ablations that locate the source and limits of the gain. The layer is detector-agnostic (Section 4).</w:t>
      </w:r>
    </w:p>
    <w:bookmarkEnd w:id="11"/>
    <w:bookmarkStart w:id="18" w:name="proposed-fuzzyneural-decision-framework"/>
    <w:p>
      <w:pPr>
        <w:pStyle w:val="Heading1"/>
      </w:pPr>
      <w:r>
        <w:t xml:space="preserve">Proposed fuzzy–neural decision framework</w:t>
      </w:r>
    </w:p>
    <w:bookmarkStart w:id="12" w:name="neural-propensity-model"/>
    <w:p>
      <w:pPr>
        <w:pStyle w:val="Heading2"/>
      </w:pPr>
      <w:r>
        <w:t xml:space="preserve">Neural propensity model</w:t>
      </w:r>
    </w:p>
    <w:p>
      <w:pPr>
        <w:pStyle w:val="FirstParagraph"/>
      </w:pPr>
      <w:r>
        <w:t xml:space="preserve">Each alert</w:t>
      </w:r>
      <w:r>
        <w:t xml:space="preserve"> </w:t>
      </w:r>
      <m:oMath>
        <m:r>
          <m:t>i</m:t>
        </m:r>
      </m:oMath>
      <w:r>
        <w:t xml:space="preserve"> </w:t>
      </w:r>
      <w:r>
        <w:t xml:space="preserve">has features</w:t>
      </w:r>
      <w:r>
        <w:t xml:space="preserve"> </w:t>
      </w:r>
      <m:oMath>
        <m:sSub>
          <m:e>
            <m:r>
              <m:t>x</m:t>
            </m:r>
          </m:e>
          <m:sub>
            <m:r>
              <m:t>i</m:t>
            </m:r>
          </m:sub>
        </m:sSub>
      </m:oMath>
      <w:r>
        <w:t xml:space="preserve"> </w:t>
      </w:r>
      <w:r>
        <w:t xml:space="preserve">(38 numeric NSL-KDD fields, standardised; protocol, service and flag, one-hot encoded) and label</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(normal, attack). An MLP</w:t>
      </w:r>
      <w:r>
        <w:t xml:space="preserve"> </w:t>
      </w:r>
      <m:oMath>
        <m:sSub>
          <m:e>
            <m:r>
              <m:t>g</m:t>
            </m:r>
          </m:e>
          <m:sub>
            <m:r>
              <m:t>θ</m:t>
            </m:r>
          </m:sub>
        </m:sSub>
      </m:oMath>
      <w:r>
        <w:t xml:space="preserve"> </w:t>
      </w:r>
      <w:r>
        <w:t xml:space="preserve">with ReLU layers of width 128 and 64, dropout 0.2 and one logit output gives the attack propensity</w:t>
      </w:r>
    </w:p>
    <w:p>
      <w:pPr>
        <w:pStyle w:val="BodyText"/>
      </w:pPr>
      <m:oMathPara>
        <m:oMathParaPr>
          <m:jc m:val="center"/>
        </m:oMathParaPr>
        <m:oMath>
          <m:eqArr>
            <m:e>
              <m:sSub>
                <m:e>
                  <m:r>
                    <m:t>p</m:t>
                  </m:r>
                </m:e>
                <m:sub>
                  <m:r>
                    <m:t>i</m:t>
                  </m:r>
                </m:sub>
              </m:sSub>
              <m:r>
                <m:t>&amp;</m:t>
              </m:r>
              <m:r>
                <m:rPr>
                  <m:sty m:val="p"/>
                </m:rPr>
                <m:t>=</m:t>
              </m:r>
              <m:r>
                <m:t>σ</m:t>
              </m:r>
              <m:d>
                <m:dPr>
                  <m:begChr m:val="("/>
                  <m:sepChr m:val=""/>
                  <m:endChr m:val=")"/>
                  <m:grow/>
                </m:dPr>
                <m:e>
                  <m:sSub>
                    <m:e>
                      <m:r>
                        <m:t>g</m:t>
                      </m:r>
                    </m:e>
                    <m:sub>
                      <m:r>
                        <m:t>θ</m:t>
                      </m:r>
                    </m:sub>
                  </m:sSub>
                  <m:r>
                    <m:rPr>
                      <m:sty m:val="p"/>
                    </m:rPr>
                    <m:t>(</m:t>
                  </m:r>
                  <m:sSub>
                    <m:e>
                      <m:r>
                        <m:t>x</m:t>
                      </m:r>
                    </m:e>
                    <m:sub>
                      <m:r>
                        <m:t>i</m:t>
                      </m:r>
                    </m:sub>
                  </m:sSub>
                  <m:r>
                    <m:rPr>
                      <m:sty m:val="p"/>
                    </m:rPr>
                    <m:t>)</m:t>
                  </m:r>
                </m:e>
              </m:d>
              <m:r>
                <m:rPr>
                  <m:sty m:val="p"/>
                </m:rPr>
                <m:t>,</m:t>
              </m:r>
            </m:e>
            <m:e>
              <m:r>
                <m:rPr>
                  <m:scr m:val="script"/>
                  <m:sty m:val="p"/>
                </m:rPr>
                <m:t>L</m:t>
              </m:r>
              <m:r>
                <m:rPr>
                  <m:sty m:val="p"/>
                </m:rPr>
                <m:t>(</m:t>
              </m:r>
              <m:r>
                <m:t>θ</m:t>
              </m:r>
              <m:r>
                <m:rPr>
                  <m:sty m:val="p"/>
                </m:rPr>
                <m:t>)</m:t>
              </m:r>
              <m:r>
                <m:t>&amp;</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w</m:t>
                          </m:r>
                        </m:e>
                        <m:sub>
                          <m:r>
                            <m:rPr>
                              <m:sty m:val="p"/>
                            </m:rPr>
                            <m:t>+</m:t>
                          </m:r>
                        </m:sub>
                      </m:sSub>
                      <m:r>
                        <m:t> </m:t>
                      </m:r>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  </m:t>
              </m:r>
              <m:sSub>
                <m:e>
                  <m:r>
                    <m:t>w</m:t>
                  </m:r>
                </m:e>
                <m:sub>
                  <m:r>
                    <m:rPr>
                      <m:sty m:val="p"/>
                    </m:rPr>
                    <m:t>+</m:t>
                  </m:r>
                </m:sub>
              </m:sSub>
              <m:r>
                <m:rPr>
                  <m:sty m:val="p"/>
                </m:rPr>
                <m:t>=</m:t>
              </m:r>
              <m:f>
                <m:fPr>
                  <m:type m:val="bar"/>
                </m:fPr>
                <m:num>
                  <m:sSub>
                    <m:e>
                      <m:r>
                        <m:t>N</m:t>
                      </m:r>
                    </m:e>
                    <m:sub>
                      <m:r>
                        <m:rPr>
                          <m:sty m:val="p"/>
                        </m:rPr>
                        <m:t>−</m:t>
                      </m:r>
                    </m:sub>
                  </m:sSub>
                </m:num>
                <m:den>
                  <m:sSub>
                    <m:e>
                      <m:r>
                        <m:t>N</m:t>
                      </m:r>
                    </m:e>
                    <m:sub>
                      <m:r>
                        <m:rPr>
                          <m:sty m:val="p"/>
                        </m:rPr>
                        <m:t>+</m:t>
                      </m:r>
                    </m:sub>
                  </m:sSub>
                </m:den>
              </m:f>
              <m:r>
                <m:rPr>
                  <m:sty m:val="p"/>
                </m:rPr>
                <m:t>,</m:t>
              </m:r>
            </m:e>
          </m:eqArr>
          <m:r>
            <m:t>  </m:t>
          </m:r>
          <m:r>
            <m:rPr>
              <m:sty m:val="p"/>
            </m:rPr>
            <m:t>(</m:t>
          </m:r>
          <m:r>
            <m:t>1</m:t>
          </m:r>
          <m:r>
            <m:rPr>
              <m:sty m:val="p"/>
            </m:rPr>
            <m:t>)</m:t>
          </m:r>
        </m:oMath>
      </m:oMathPara>
    </w:p>
    <w:p>
      <w:pPr>
        <w:pStyle w:val="FirstParagraph"/>
      </w:pPr>
      <w:r>
        <w:t xml:space="preserve">where</w:t>
      </w:r>
      <w:r>
        <w:t xml:space="preserve"> </w:t>
      </w:r>
      <m:oMath>
        <m:sSub>
          <m:e>
            <m:r>
              <m:t>N</m:t>
            </m:r>
          </m:e>
          <m:sub>
            <m:r>
              <m:rPr>
                <m:sty m:val="p"/>
              </m:rPr>
              <m:t>−</m:t>
            </m:r>
          </m:sub>
        </m:sSub>
      </m:oMath>
      <w:r>
        <w:t xml:space="preserve"> </w:t>
      </w:r>
      <w:r>
        <w:t xml:space="preserve">and</w:t>
      </w:r>
      <w:r>
        <w:t xml:space="preserve"> </w:t>
      </w:r>
      <m:oMath>
        <m:sSub>
          <m:e>
            <m:r>
              <m:t>N</m:t>
            </m:r>
          </m:e>
          <m:sub>
            <m:r>
              <m:rPr>
                <m:sty m:val="p"/>
              </m:rPr>
              <m:t>+</m:t>
            </m:r>
          </m:sub>
        </m:sSub>
      </m:oMath>
      <w:r>
        <w:t xml:space="preserve"> </w:t>
      </w:r>
      <w:r>
        <w:t xml:space="preserve">count normal and attack training records. Training uses Adam (learning rate</w:t>
      </w:r>
      <w:r>
        <w:t xml:space="preserve"> </w:t>
      </w:r>
      <m:oMath>
        <m:sSup>
          <m:e>
            <m:r>
              <m:t>10</m:t>
            </m:r>
          </m:e>
          <m:sup>
            <m:r>
              <m:rPr>
                <m:sty m:val="p"/>
              </m:rPr>
              <m:t>−</m:t>
            </m:r>
            <m:r>
              <m:t>3</m:t>
            </m:r>
          </m:sup>
        </m:sSup>
      </m:oMath>
      <w:r>
        <w:t xml:space="preserve">, batch size 512, 20 epochs) and keeps the epoch with the best validation ROC-AUC.</w:t>
      </w:r>
    </w:p>
    <w:bookmarkEnd w:id="12"/>
    <w:bookmarkStart w:id="16" w:name="Xa12c8d55717e251e3186c98c25cee8834d32cb3"/>
    <w:p>
      <w:pPr>
        <w:pStyle w:val="Heading2"/>
      </w:pPr>
      <w:r>
        <w:t xml:space="preserve">Fuzzy risk bands and production-rule base</w:t>
      </w:r>
    </w:p>
    <w:p>
      <w:pPr>
        <w:pStyle w:val="FirstParagraph"/>
      </w:pPr>
      <w:r>
        <w:t xml:space="preserve">Propensity is mapped to three linguistic risk bands [10] by shoulder and triangular membership functions, with</w:t>
      </w:r>
      <w:r>
        <w:t xml:space="preserve"> </w:t>
      </w:r>
      <m:oMath>
        <m:r>
          <m:rPr>
            <m:sty m:val="p"/>
          </m:rPr>
          <m:t>[</m:t>
        </m:r>
        <m:r>
          <m:t>z</m:t>
        </m:r>
        <m:sSubSup>
          <m:e>
            <m:r>
              <m:rPr>
                <m:sty m:val="p"/>
              </m:rPr>
              <m:t>]</m:t>
            </m:r>
          </m:e>
          <m:sub>
            <m:r>
              <m:t>0</m:t>
            </m:r>
          </m:sub>
          <m:sup>
            <m:r>
              <m:t>1</m:t>
            </m:r>
          </m:sup>
        </m:sSubSup>
        <m:r>
          <m:rPr>
            <m:sty m:val="p"/>
          </m:rPr>
          <m:t>=</m:t>
        </m:r>
        <m:r>
          <m:rPr>
            <m:sty m:val="p"/>
          </m:rPr>
          <m:t>min</m:t>
        </m:r>
        <m:r>
          <m:rPr>
            <m:sty m:val="p"/>
          </m:rPr>
          <m:t>(</m:t>
        </m:r>
        <m:r>
          <m:t>1</m:t>
        </m:r>
        <m:r>
          <m:rPr>
            <m:sty m:val="p"/>
          </m:rPr>
          <m:t>,</m:t>
        </m:r>
        <m:r>
          <m:rPr>
            <m:sty m:val="p"/>
          </m:rPr>
          <m:t>max</m:t>
        </m:r>
        <m:r>
          <m:rPr>
            <m:sty m:val="p"/>
          </m:rPr>
          <m:t>(</m:t>
        </m:r>
        <m:r>
          <m:t>0</m:t>
        </m:r>
        <m:r>
          <m:rPr>
            <m:sty m:val="p"/>
          </m:rPr>
          <m:t>,</m:t>
        </m:r>
        <m:r>
          <m:t>z</m:t>
        </m:r>
        <m:r>
          <m:rPr>
            <m:sty m:val="p"/>
          </m:rPr>
          <m:t>)</m:t>
        </m:r>
        <m:r>
          <m:rPr>
            <m:sty m:val="p"/>
          </m:rPr>
          <m:t>)</m:t>
        </m:r>
      </m:oMath>
      <w:r>
        <w:t xml:space="preserve">:</w:t>
      </w:r>
    </w:p>
    <w:p>
      <w:pPr>
        <w:pStyle w:val="BodyText"/>
      </w:pPr>
      <m:oMathPara>
        <m:oMathParaPr>
          <m:jc m:val="center"/>
        </m:oMathParaPr>
        <m:oMath>
          <m:eqArr>
            <m:e>
              <m:sSub>
                <m:e>
                  <m:r>
                    <m:t>μ</m:t>
                  </m:r>
                </m:e>
                <m:sub>
                  <m:r>
                    <m:t>L</m:t>
                  </m:r>
                </m:sub>
              </m:sSub>
              <m:r>
                <m:rPr>
                  <m:sty m:val="p"/>
                </m:rPr>
                <m:t>(</m:t>
              </m:r>
              <m:r>
                <m:t>p</m:t>
              </m:r>
              <m:r>
                <m:rPr>
                  <m:sty m:val="p"/>
                </m:rPr>
                <m:t>)</m:t>
              </m:r>
              <m:r>
                <m:t>&amp;</m:t>
              </m:r>
              <m:r>
                <m:rPr>
                  <m:sty m:val="p"/>
                </m:rPr>
                <m:t>=</m:t>
              </m:r>
              <m:r>
                <m:rPr>
                  <m:sty m:val="p"/>
                </m:rPr>
                <m:t>[</m:t>
              </m:r>
              <m:r>
                <m:rPr>
                  <m:sty m:val="p"/>
                </m:rPr>
                <m:t>(</m:t>
              </m:r>
              <m:r>
                <m:t>0.45</m:t>
              </m:r>
              <m:r>
                <m:rPr>
                  <m:sty m:val="p"/>
                </m:rPr>
                <m:t>−</m:t>
              </m:r>
              <m:r>
                <m:t>p</m:t>
              </m:r>
              <m:r>
                <m:rPr>
                  <m:sty m:val="p"/>
                </m:rPr>
                <m:t>)</m:t>
              </m:r>
              <m:r>
                <m:rPr>
                  <m:sty m:val="p"/>
                </m:rPr>
                <m:t>/</m:t>
              </m:r>
              <m:r>
                <m:t>0.45</m:t>
              </m:r>
              <m:sSubSup>
                <m:e>
                  <m:r>
                    <m:rPr>
                      <m:sty m:val="p"/>
                    </m:rPr>
                    <m:t>]</m:t>
                  </m:r>
                </m:e>
                <m:sub>
                  <m:r>
                    <m:t>0</m:t>
                  </m:r>
                </m:sub>
                <m:sup>
                  <m:r>
                    <m:t>1</m:t>
                  </m:r>
                </m:sup>
              </m:sSubSup>
              <m:r>
                <m:rPr>
                  <m:sty m:val="p"/>
                </m:rPr>
                <m:t>,</m:t>
              </m:r>
              <m:r>
                <m:t>  </m:t>
              </m:r>
              <m:r>
                <m:rPr>
                  <m:sty m:val="p"/>
                </m:rPr>
                <m:t>(</m:t>
              </m:r>
              <m:r>
                <m:t>2</m:t>
              </m:r>
              <m:r>
                <m:rPr>
                  <m:sty m:val="p"/>
                </m:rPr>
                <m:t>)</m:t>
              </m:r>
            </m:e>
            <m:e>
              <m:sSub>
                <m:e>
                  <m:r>
                    <m:t>μ</m:t>
                  </m:r>
                </m:e>
                <m:sub>
                  <m:r>
                    <m:t>M</m:t>
                  </m:r>
                </m:sub>
              </m:sSub>
              <m:r>
                <m:rPr>
                  <m:sty m:val="p"/>
                </m:rPr>
                <m:t>(</m:t>
              </m:r>
              <m:r>
                <m:t>p</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p"/>
                          </m:rPr>
                          <m:t>(</m:t>
                        </m:r>
                        <m:r>
                          <m:t>p</m:t>
                        </m:r>
                        <m:r>
                          <m:rPr>
                            <m:sty m:val="p"/>
                          </m:rPr>
                          <m:t>−</m:t>
                        </m:r>
                        <m:r>
                          <m:t>0.15</m:t>
                        </m:r>
                        <m:r>
                          <m:rPr>
                            <m:sty m:val="p"/>
                          </m:rPr>
                          <m:t>)</m:t>
                        </m:r>
                        <m:r>
                          <m:rPr>
                            <m:sty m:val="p"/>
                          </m:rPr>
                          <m:t>/</m:t>
                        </m:r>
                        <m:r>
                          <m:t>0.35</m:t>
                        </m:r>
                        <m:sSubSup>
                          <m:e>
                            <m:r>
                              <m:rPr>
                                <m:sty m:val="p"/>
                              </m:rPr>
                              <m:t>]</m:t>
                            </m:r>
                          </m:e>
                          <m:sub>
                            <m:r>
                              <m:t>0</m:t>
                            </m:r>
                          </m:sub>
                          <m:sup>
                            <m:r>
                              <m:t>1</m:t>
                            </m:r>
                          </m:sup>
                        </m:sSubSup>
                        <m:r>
                          <m:rPr>
                            <m:sty m:val="p"/>
                          </m:rPr>
                          <m:t>,</m:t>
                        </m:r>
                      </m:e>
                      <m:e>
                        <m:r>
                          <m:t>p</m:t>
                        </m:r>
                        <m:r>
                          <m:rPr>
                            <m:sty m:val="p"/>
                          </m:rPr>
                          <m:t>&lt;</m:t>
                        </m:r>
                        <m:r>
                          <m:t>0.5</m:t>
                        </m:r>
                        <m:r>
                          <m:rPr>
                            <m:sty m:val="p"/>
                          </m:rPr>
                          <m:t>,</m:t>
                        </m:r>
                      </m:e>
                    </m:mr>
                    <m:mr>
                      <m:e>
                        <m:r>
                          <m:rPr>
                            <m:sty m:val="p"/>
                          </m:rPr>
                          <m:t>[</m:t>
                        </m:r>
                        <m:r>
                          <m:rPr>
                            <m:sty m:val="p"/>
                          </m:rPr>
                          <m:t>(</m:t>
                        </m:r>
                        <m:r>
                          <m:t>0.85</m:t>
                        </m:r>
                        <m:r>
                          <m:rPr>
                            <m:sty m:val="p"/>
                          </m:rPr>
                          <m:t>−</m:t>
                        </m:r>
                        <m:r>
                          <m:t>p</m:t>
                        </m:r>
                        <m:r>
                          <m:rPr>
                            <m:sty m:val="p"/>
                          </m:rPr>
                          <m:t>)</m:t>
                        </m:r>
                        <m:r>
                          <m:rPr>
                            <m:sty m:val="p"/>
                          </m:rPr>
                          <m:t>/</m:t>
                        </m:r>
                        <m:r>
                          <m:t>0.35</m:t>
                        </m:r>
                        <m:sSubSup>
                          <m:e>
                            <m:r>
                              <m:rPr>
                                <m:sty m:val="p"/>
                              </m:rPr>
                              <m:t>]</m:t>
                            </m:r>
                          </m:e>
                          <m:sub>
                            <m:r>
                              <m:t>0</m:t>
                            </m:r>
                          </m:sub>
                          <m:sup>
                            <m:r>
                              <m:t>1</m:t>
                            </m:r>
                          </m:sup>
                        </m:sSubSup>
                        <m:r>
                          <m:rPr>
                            <m:sty m:val="p"/>
                          </m:rPr>
                          <m:t>,</m:t>
                        </m:r>
                      </m:e>
                      <m:e>
                        <m:r>
                          <m:t>p</m:t>
                        </m:r>
                        <m:r>
                          <m:rPr>
                            <m:sty m:val="p"/>
                          </m:rPr>
                          <m:t>≥</m:t>
                        </m:r>
                        <m:r>
                          <m:t>0.5</m:t>
                        </m:r>
                        <m:r>
                          <m:rPr>
                            <m:sty m:val="p"/>
                          </m:rPr>
                          <m:t>,</m:t>
                        </m:r>
                      </m:e>
                    </m:mr>
                  </m:m>
                </m:e>
              </m:d>
              <m:r>
                <m:t>  </m:t>
              </m:r>
              <m:r>
                <m:rPr>
                  <m:sty m:val="p"/>
                </m:rPr>
                <m:t>(</m:t>
              </m:r>
              <m:r>
                <m:t>3</m:t>
              </m:r>
              <m:r>
                <m:rPr>
                  <m:sty m:val="p"/>
                </m:rPr>
                <m:t>)</m:t>
              </m:r>
            </m:e>
            <m:e>
              <m:sSub>
                <m:e>
                  <m:r>
                    <m:t>μ</m:t>
                  </m:r>
                </m:e>
                <m:sub>
                  <m:r>
                    <m:t>H</m:t>
                  </m:r>
                </m:sub>
              </m:sSub>
              <m:r>
                <m:rPr>
                  <m:sty m:val="p"/>
                </m:rPr>
                <m:t>(</m:t>
              </m:r>
              <m:r>
                <m:t>p</m:t>
              </m:r>
              <m:r>
                <m:rPr>
                  <m:sty m:val="p"/>
                </m:rPr>
                <m:t>)</m:t>
              </m:r>
              <m:r>
                <m:t>&amp;</m:t>
              </m:r>
              <m:r>
                <m:rPr>
                  <m:sty m:val="p"/>
                </m:rPr>
                <m:t>=</m:t>
              </m:r>
              <m:r>
                <m:rPr>
                  <m:sty m:val="p"/>
                </m:rPr>
                <m:t>[</m:t>
              </m:r>
              <m:r>
                <m:rPr>
                  <m:sty m:val="p"/>
                </m:rPr>
                <m:t>(</m:t>
              </m:r>
              <m:r>
                <m:t>p</m:t>
              </m:r>
              <m:r>
                <m:rPr>
                  <m:sty m:val="p"/>
                </m:rPr>
                <m:t>−</m:t>
              </m:r>
              <m:r>
                <m:t>0.55</m:t>
              </m:r>
              <m:r>
                <m:rPr>
                  <m:sty m:val="p"/>
                </m:rPr>
                <m:t>)</m:t>
              </m:r>
              <m:r>
                <m:rPr>
                  <m:sty m:val="p"/>
                </m:rPr>
                <m:t>/</m:t>
              </m:r>
              <m:r>
                <m:t>0.45</m:t>
              </m:r>
              <m:sSubSup>
                <m:e>
                  <m:r>
                    <m:rPr>
                      <m:sty m:val="p"/>
                    </m:rPr>
                    <m:t>]</m:t>
                  </m:r>
                </m:e>
                <m:sub>
                  <m:r>
                    <m:t>0</m:t>
                  </m:r>
                </m:sub>
                <m:sup>
                  <m:r>
                    <m:t>1</m:t>
                  </m:r>
                </m:sup>
              </m:sSubSup>
              <m:r>
                <m:rPr>
                  <m:sty m:val="p"/>
                </m:rPr>
                <m:t>.</m:t>
              </m:r>
              <m:r>
                <m:t>  </m:t>
              </m:r>
              <m:r>
                <m:rPr>
                  <m:sty m:val="p"/>
                </m:rPr>
                <m:t>(</m:t>
              </m:r>
              <m:r>
                <m:t>4</m:t>
              </m:r>
              <m:r>
                <m:rPr>
                  <m:sty m:val="p"/>
                </m:rPr>
                <m:t>)</m:t>
              </m:r>
            </m:e>
          </m:eqArr>
        </m:oMath>
      </m:oMathPara>
    </w:p>
    <w:p>
      <w:pPr>
        <w:pStyle w:val="FirstParagraph"/>
      </w:pPr>
      <w:r>
        <w:t xml:space="preserve">The knowledge layer is the production-rule base</w:t>
      </w:r>
      <w:r>
        <w:t xml:space="preserve"> </w:t>
      </w:r>
      <m:oMath>
        <m:r>
          <m:rPr>
            <m:scr m:val="script"/>
            <m:sty m:val="p"/>
          </m:rPr>
          <m:t>R</m:t>
        </m:r>
        <m:r>
          <m:rPr>
            <m:sty m:val="p"/>
          </m:rPr>
          <m:t>=</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w:t>
      </w:r>
    </w:p>
    <w:tbl>
      <w:tblPr>
        <w:tblStyle w:val="Table"/>
        <w:tblW w:type="pct" w:w="5000"/>
        <w:tblLayout w:type="fixed"/>
        <w:tblLook w:firstRow="0" w:lastRow="0" w:firstColumn="0" w:lastColumn="0" w:noHBand="0" w:noVBand="0" w:val="0000"/>
      </w:tblPr>
      <w:tblGrid>
        <w:gridCol w:w="255"/>
        <w:gridCol w:w="7664"/>
      </w:tblGrid>
      <w:tr>
        <w:tc>
          <w:tcPr/>
          <w:p>
            <w:pPr>
              <w:pStyle w:val="Compact"/>
              <w:jc w:val="left"/>
            </w:pPr>
            <m:oMath>
              <m:sSub>
                <m:e>
                  <m:r>
                    <m:t>R</m:t>
                  </m:r>
                </m:e>
                <m:sub>
                  <m:r>
                    <m:t>1</m:t>
                  </m:r>
                </m:sub>
              </m:sSub>
            </m:oMath>
            <w:r>
              <w:t xml:space="preserve">:</w:t>
            </w:r>
          </w:p>
        </w:tc>
        <w:tc>
          <w:tcPr/>
          <w:p>
            <w:pPr>
              <w:pStyle w:val="Compact"/>
              <w:jc w:val="left"/>
            </w:pPr>
            <w:r>
              <w:t xml:space="preserve">IF risk IS Low THEN action</w:t>
            </w:r>
            <w:r>
              <w:t xml:space="preserve"> </w:t>
            </w:r>
            <m:oMath>
              <m:r>
                <m:rPr>
                  <m:sty m:val="p"/>
                </m:rPr>
                <m:t>=</m:t>
              </m:r>
            </m:oMath>
            <w:r>
              <w:t xml:space="preserve"> </w:t>
            </w:r>
            <w:r>
              <w:t xml:space="preserve">Monitor (log the alert; no intervention);</w:t>
            </w:r>
          </w:p>
        </w:tc>
      </w:tr>
      <w:tr>
        <w:tc>
          <w:tcPr/>
          <w:p>
            <w:pPr>
              <w:pStyle w:val="Compact"/>
              <w:jc w:val="left"/>
            </w:pPr>
            <m:oMath>
              <m:sSub>
                <m:e>
                  <m:r>
                    <m:t>R</m:t>
                  </m:r>
                </m:e>
                <m:sub>
                  <m:r>
                    <m:t>2</m:t>
                  </m:r>
                </m:sub>
              </m:sSub>
            </m:oMath>
            <w:r>
              <w:t xml:space="preserve">:</w:t>
            </w:r>
          </w:p>
        </w:tc>
        <w:tc>
          <w:tcPr/>
          <w:p>
            <w:pPr>
              <w:pStyle w:val="Compact"/>
              <w:jc w:val="left"/>
            </w:pPr>
            <w:r>
              <w:t xml:space="preserve">IF risk IS Medium THEN action</w:t>
            </w:r>
            <w:r>
              <w:t xml:space="preserve"> </w:t>
            </w:r>
            <m:oMath>
              <m:r>
                <m:rPr>
                  <m:sty m:val="p"/>
                </m:rPr>
                <m:t>=</m:t>
              </m:r>
            </m:oMath>
            <w:r>
              <w:t xml:space="preserve"> </w:t>
            </w:r>
            <w:r>
              <w:t xml:space="preserve">Soft-block (automatic containment, e.g., rate limit);</w:t>
            </w:r>
          </w:p>
        </w:tc>
      </w:tr>
      <w:tr>
        <w:tc>
          <w:tcPr/>
          <w:p>
            <w:pPr>
              <w:pStyle w:val="Compact"/>
              <w:jc w:val="left"/>
            </w:pPr>
            <m:oMath>
              <m:sSub>
                <m:e>
                  <m:r>
                    <m:t>R</m:t>
                  </m:r>
                </m:e>
                <m:sub>
                  <m:r>
                    <m:t>3</m:t>
                  </m:r>
                </m:sub>
              </m:sSub>
            </m:oMath>
            <w:r>
              <w:t xml:space="preserve">:</w:t>
            </w:r>
          </w:p>
        </w:tc>
        <w:tc>
          <w:tcPr/>
          <w:p>
            <w:pPr>
              <w:pStyle w:val="Compact"/>
              <w:jc w:val="left"/>
            </w:pPr>
            <w:r>
              <w:t xml:space="preserve">IF risk IS High THEN action</w:t>
            </w:r>
            <w:r>
              <w:t xml:space="preserve"> </w:t>
            </w:r>
            <m:oMath>
              <m:r>
                <m:rPr>
                  <m:sty m:val="p"/>
                </m:rPr>
                <m:t>=</m:t>
              </m:r>
            </m:oMath>
            <w:r>
              <w:t xml:space="preserve"> </w:t>
            </w:r>
            <w:r>
              <w:t xml:space="preserve">Escalate (hand over to a human analyst).</w:t>
            </w:r>
          </w:p>
        </w:tc>
      </w:tr>
    </w:tbl>
    <w:p>
      <w:pPr>
        <w:pStyle w:val="BodyText"/>
      </w:pPr>
      <w:r>
        <w:t xml:space="preserve">Rule</w:t>
      </w:r>
      <w:r>
        <w:t xml:space="preserve"> </w:t>
      </w:r>
      <m:oMath>
        <m:sSub>
          <m:e>
            <m:r>
              <m:t>R</m:t>
            </m:r>
          </m:e>
          <m:sub>
            <m:r>
              <m:t>k</m:t>
            </m:r>
          </m:sub>
        </m:sSub>
      </m:oMath>
      <w:r>
        <w:t xml:space="preserve"> </w:t>
      </w:r>
      <w:r>
        <w:t xml:space="preserve">fires with strength</w:t>
      </w:r>
      <w:r>
        <w:t xml:space="preserve"> </w:t>
      </w:r>
      <m:oMath>
        <m:sSub>
          <m:e>
            <m:r>
              <m:t>μ</m:t>
            </m:r>
          </m:e>
          <m:sub>
            <m:r>
              <m:t>k</m:t>
            </m:r>
          </m:sub>
        </m:sSub>
        <m:r>
          <m:rPr>
            <m:sty m:val="p"/>
          </m:rPr>
          <m:t>(</m:t>
        </m:r>
        <m:sSub>
          <m:e>
            <m:r>
              <m:t>p</m:t>
            </m:r>
          </m:e>
          <m:sub>
            <m:r>
              <m:t>i</m:t>
            </m:r>
          </m:sub>
        </m:sSub>
        <m:r>
          <m:rPr>
            <m:sty m:val="p"/>
          </m:rPr>
          <m:t>)</m:t>
        </m:r>
      </m:oMath>
      <w:r>
        <w:t xml:space="preserve">; conflicts are resolved by winner-take-all, with ties going to the less severe action:</w:t>
      </w:r>
    </w:p>
    <w:p>
      <w:pPr>
        <w:pStyle w:val="BodyText"/>
      </w:pPr>
      <m:oMathPara>
        <m:oMathParaPr>
          <m:jc m:val="center"/>
        </m:oMathParaPr>
        <m:oMath>
          <m:sSub>
            <m:e>
              <m:r>
                <m:t>a</m:t>
              </m:r>
            </m:e>
            <m:sub>
              <m:r>
                <m:t>i</m:t>
              </m:r>
            </m:sub>
          </m:sSub>
          <m:r>
            <m:rPr>
              <m:sty m:val="p"/>
            </m:rPr>
            <m:t>=</m:t>
          </m:r>
          <m:r>
            <m:t>A</m:t>
          </m:r>
          <m:d>
            <m:dPr>
              <m:begChr m:val="("/>
              <m:sepChr m:val=""/>
              <m:endChr m:val=")"/>
              <m:grow/>
            </m:dPr>
            <m:e>
              <m:sSubSup>
                <m:e>
                  <m:r>
                    <m:t>k</m:t>
                  </m:r>
                </m:e>
                <m:sub>
                  <m:r>
                    <m:t>i</m:t>
                  </m:r>
                </m:sub>
                <m:sup>
                  <m:r>
                    <m:rPr>
                      <m:sty m:val="p"/>
                    </m:rPr>
                    <m:t>*</m:t>
                  </m:r>
                </m:sup>
              </m:sSubSup>
            </m:e>
          </m:d>
          <m:r>
            <m:rPr>
              <m:sty m:val="p"/>
            </m:rPr>
            <m:t>,</m:t>
          </m:r>
          <m:r>
            <m:t>  </m:t>
          </m:r>
          <m:sSubSup>
            <m:e>
              <m:r>
                <m:t>k</m:t>
              </m:r>
            </m:e>
            <m:sub>
              <m:r>
                <m:t>i</m:t>
              </m:r>
            </m:sub>
            <m:sup>
              <m:r>
                <m:rPr>
                  <m:sty m:val="p"/>
                </m:rPr>
                <m:t>*</m:t>
              </m:r>
            </m:sup>
          </m:sSubSup>
          <m:r>
            <m:rPr>
              <m:sty m:val="p"/>
            </m:rPr>
            <m:t>=</m:t>
          </m:r>
          <m:r>
            <m:rPr>
              <m:sty m:val="p"/>
            </m:rPr>
            <m:t>arg</m:t>
          </m:r>
          <m:limLow>
            <m:e>
              <m:r>
                <m:rPr>
                  <m:sty m:val="p"/>
                </m:rPr>
                <m:t>max</m:t>
              </m:r>
            </m:e>
            <m:lim>
              <m:r>
                <m:t>k</m:t>
              </m:r>
              <m:r>
                <m:rPr>
                  <m:sty m:val="p"/>
                </m:rPr>
                <m:t>∈</m:t>
              </m:r>
              <m:r>
                <m:rPr>
                  <m:sty m:val="p"/>
                </m:rPr>
                <m:t>(</m:t>
              </m:r>
              <m:r>
                <m:t>L</m:t>
              </m:r>
              <m:r>
                <m:rPr>
                  <m:sty m:val="p"/>
                </m:rPr>
                <m:t>,</m:t>
              </m:r>
              <m:r>
                <m:t>M</m:t>
              </m:r>
              <m:r>
                <m:rPr>
                  <m:sty m:val="p"/>
                </m:rPr>
                <m:t>,</m:t>
              </m:r>
              <m:r>
                <m:t>H</m:t>
              </m:r>
              <m:r>
                <m:rPr>
                  <m:sty m:val="p"/>
                </m:rPr>
                <m:t>)</m:t>
              </m:r>
            </m:lim>
          </m:limLow>
          <m:sSub>
            <m:e>
              <m:r>
                <m:t>μ</m:t>
              </m:r>
            </m:e>
            <m:sub>
              <m:r>
                <m:t>k</m:t>
              </m:r>
            </m:sub>
          </m:sSub>
          <m:r>
            <m:rPr>
              <m:sty m:val="p"/>
            </m:rPr>
            <m:t>(</m:t>
          </m:r>
          <m:sSub>
            <m:e>
              <m:r>
                <m:t>p</m:t>
              </m:r>
            </m:e>
            <m:sub>
              <m:r>
                <m:t>i</m:t>
              </m:r>
            </m:sub>
          </m:sSub>
          <m:r>
            <m:rPr>
              <m:sty m:val="p"/>
            </m:rPr>
            <m:t>)</m:t>
          </m:r>
          <m:r>
            <m:rPr>
              <m:sty m:val="p"/>
            </m:rPr>
            <m:t>,</m:t>
          </m:r>
          <m:r>
            <m:t>  </m:t>
          </m:r>
          <m:r>
            <m:rPr>
              <m:sty m:val="p"/>
            </m:rPr>
            <m:t>(</m:t>
          </m:r>
          <m:r>
            <m:t>5</m:t>
          </m:r>
          <m:r>
            <m:rPr>
              <m:sty m:val="p"/>
            </m:rPr>
            <m:t>)</m:t>
          </m:r>
        </m:oMath>
      </m:oMathPara>
    </w:p>
    <w:p>
      <w:pPr>
        <w:pStyle w:val="FirstParagraph"/>
      </w:pPr>
      <w:r>
        <w:t xml:space="preserve">where</w:t>
      </w:r>
      <w:r>
        <w:t xml:space="preserve"> </w:t>
      </w:r>
      <m:oMath>
        <m:r>
          <m:t>A</m:t>
        </m:r>
      </m:oMath>
      <w:r>
        <w:t xml:space="preserve"> </w:t>
      </w:r>
      <w:r>
        <w:t xml:space="preserve">maps</w:t>
      </w:r>
      <w:r>
        <w:t xml:space="preserve"> </w:t>
      </w:r>
      <m:oMath>
        <m:r>
          <m:rPr>
            <m:sty m:val="p"/>
          </m:rPr>
          <m:t>(</m:t>
        </m:r>
        <m:r>
          <m:t>L</m:t>
        </m:r>
        <m:r>
          <m:rPr>
            <m:sty m:val="p"/>
          </m:rPr>
          <m:t>,</m:t>
        </m:r>
        <m:r>
          <m:t>M</m:t>
        </m:r>
        <m:r>
          <m:rPr>
            <m:sty m:val="p"/>
          </m:rPr>
          <m:t>,</m:t>
        </m:r>
        <m:r>
          <m:t>H</m:t>
        </m:r>
        <m:r>
          <m:rPr>
            <m:sty m:val="p"/>
          </m:rPr>
          <m:t>)</m:t>
        </m:r>
      </m:oMath>
      <w:r>
        <w:t xml:space="preserve"> </w:t>
      </w:r>
      <w:r>
        <w:t xml:space="preserve">to (Monitor, Soft-block, Escalate). Firing strengths are logged with every decision as its explanation (e.g., “</w:t>
      </w:r>
      <m:oMath>
        <m:r>
          <m:t>p</m:t>
        </m:r>
        <m:r>
          <m:rPr>
            <m:sty m:val="p"/>
          </m:rPr>
          <m:t>=</m:t>
        </m:r>
        <m:r>
          <m:t>0.60</m:t>
        </m:r>
      </m:oMath>
      <w:r>
        <w:t xml:space="preserve">:</w:t>
      </w:r>
      <w:r>
        <w:t xml:space="preserve"> </w:t>
      </w:r>
      <m:oMath>
        <m:sSub>
          <m:e>
            <m:r>
              <m:t>μ</m:t>
            </m:r>
          </m:e>
          <m:sub>
            <m:r>
              <m:t>M</m:t>
            </m:r>
          </m:sub>
        </m:sSub>
        <m:r>
          <m:rPr>
            <m:sty m:val="p"/>
          </m:rPr>
          <m:t>=</m:t>
        </m:r>
        <m:r>
          <m:t>0.71</m:t>
        </m:r>
      </m:oMath>
      <w:r>
        <w:t xml:space="preserve">,</w:t>
      </w:r>
      <w:r>
        <w:t xml:space="preserve"> </w:t>
      </w:r>
      <m:oMath>
        <m:sSub>
          <m:e>
            <m:r>
              <m:t>μ</m:t>
            </m:r>
          </m:e>
          <m:sub>
            <m:r>
              <m:t>H</m:t>
            </m:r>
          </m:sub>
        </m:sSub>
        <m:r>
          <m:rPr>
            <m:sty m:val="p"/>
          </m:rPr>
          <m:t>=</m:t>
        </m:r>
        <m:r>
          <m:t>0.11</m:t>
        </m:r>
      </m:oMath>
      <w:r>
        <w:t xml:space="preserve">, Soft-block”). Solving</w:t>
      </w:r>
      <w:r>
        <w:t xml:space="preserve"> </w:t>
      </w:r>
      <m:oMath>
        <m:sSub>
          <m:e>
            <m:r>
              <m:t>μ</m:t>
            </m:r>
          </m:e>
          <m:sub>
            <m:r>
              <m:t>L</m:t>
            </m:r>
          </m:sub>
        </m:sSub>
        <m:r>
          <m:rPr>
            <m:sty m:val="p"/>
          </m:rPr>
          <m:t>=</m:t>
        </m:r>
        <m:sSub>
          <m:e>
            <m:r>
              <m:t>μ</m:t>
            </m:r>
          </m:e>
          <m:sub>
            <m:r>
              <m:t>M</m:t>
            </m:r>
          </m:sub>
        </m:sSub>
      </m:oMath>
      <w:r>
        <w:t xml:space="preserve"> </w:t>
      </w:r>
      <w:r>
        <w:t xml:space="preserve">and</w:t>
      </w:r>
      <w:r>
        <w:t xml:space="preserve"> </w:t>
      </w:r>
      <m:oMath>
        <m:sSub>
          <m:e>
            <m:r>
              <m:t>μ</m:t>
            </m:r>
          </m:e>
          <m:sub>
            <m:r>
              <m:t>M</m:t>
            </m:r>
          </m:sub>
        </m:sSub>
        <m:r>
          <m:rPr>
            <m:sty m:val="p"/>
          </m:rPr>
          <m:t>=</m:t>
        </m:r>
        <m:sSub>
          <m:e>
            <m:r>
              <m:t>μ</m:t>
            </m:r>
          </m:e>
          <m:sub>
            <m:r>
              <m:t>H</m:t>
            </m:r>
          </m:sub>
        </m:sSub>
      </m:oMath>
      <w:r>
        <w:t xml:space="preserve"> </w:t>
      </w:r>
      <w:r>
        <w:t xml:space="preserve">shows that Eq. (5) switches action at</w:t>
      </w:r>
      <w:r>
        <w:t xml:space="preserve"> </w:t>
      </w:r>
      <m:oMath>
        <m:r>
          <m:t>p</m:t>
        </m:r>
        <m:r>
          <m:rPr>
            <m:sty m:val="p"/>
          </m:rPr>
          <m:t>=</m:t>
        </m:r>
        <m:r>
          <m:t>9</m:t>
        </m:r>
        <m:r>
          <m:rPr>
            <m:sty m:val="p"/>
          </m:rPr>
          <m:t>/</m:t>
        </m:r>
        <m:r>
          <m:t>32</m:t>
        </m:r>
        <m:r>
          <m:rPr>
            <m:sty m:val="p"/>
          </m:rPr>
          <m:t>=</m:t>
        </m:r>
        <m:r>
          <m:t>0.281</m:t>
        </m:r>
      </m:oMath>
      <w:r>
        <w:t xml:space="preserve"> </w:t>
      </w:r>
      <w:r>
        <w:t xml:space="preserve">and</w:t>
      </w:r>
      <w:r>
        <w:t xml:space="preserve"> </w:t>
      </w:r>
      <m:oMath>
        <m:r>
          <m:t>p</m:t>
        </m:r>
        <m:r>
          <m:rPr>
            <m:sty m:val="p"/>
          </m:rPr>
          <m:t>=</m:t>
        </m:r>
        <m:r>
          <m:t>23</m:t>
        </m:r>
        <m:r>
          <m:rPr>
            <m:sty m:val="p"/>
          </m:rPr>
          <m:t>/</m:t>
        </m:r>
        <m:r>
          <m:t>32</m:t>
        </m:r>
        <m:r>
          <m:rPr>
            <m:sty m:val="p"/>
          </m:rPr>
          <m:t>=</m:t>
        </m:r>
        <m:r>
          <m:t>0.719</m:t>
        </m:r>
      </m:oMath>
      <w:r>
        <w:t xml:space="preserve"> </w:t>
      </w:r>
      <w:r>
        <w:t xml:space="preserve">(Fig. 1). The breakpoints were set by expert judgement before the test data were examined.</w:t>
      </w:r>
    </w:p>
    <w:p>
      <w:pPr>
        <w:pStyle w:val="CaptionedFigure"/>
      </w:pPr>
      <w:r>
        <w:drawing>
          <wp:inline>
            <wp:extent cx="4437439" cy="2201899"/>
            <wp:effectExtent b="0" l="0" r="0" t="0"/>
            <wp:docPr descr="Fig. 1. Fuzzy score-to-action mapping (seed-42 test set). The memberships of Eqs. (2)–(4) and rules R_1–R_3 switch action at p=9/32 and 23/32 (dotted). The Soft-block band holds only 776 alerts (3.9%) yet yields the entire cost gain over the 0.5 threshold; the Bayes cost rule (dashed) soft-blocks every alert above p=2/11." title="" id="14" name="Picture"/>
            <a:graphic>
              <a:graphicData uri="http://schemas.openxmlformats.org/drawingml/2006/picture">
                <pic:pic>
                  <pic:nvPicPr>
                    <pic:cNvPr descr="figures/fig1_decision_bands.png" id="15" name="Picture"/>
                    <pic:cNvPicPr>
                      <a:picLocks noChangeArrowheads="1" noChangeAspect="1"/>
                    </pic:cNvPicPr>
                  </pic:nvPicPr>
                  <pic:blipFill>
                    <a:blip r:embed="rId13"/>
                    <a:stretch>
                      <a:fillRect/>
                    </a:stretch>
                  </pic:blipFill>
                  <pic:spPr bwMode="auto">
                    <a:xfrm>
                      <a:off x="0" y="0"/>
                      <a:ext cx="4437439" cy="2201899"/>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Fuzzy score-to-action mapping (seed-42 test set). The memberships of Eqs. (2)–(4) and rules</w:t>
      </w:r>
      <w:r>
        <w:t xml:space="preserve"> </w:t>
      </w:r>
      <m:oMath>
        <m:sSub>
          <m:e>
            <m:r>
              <m:t>R</m:t>
            </m:r>
          </m:e>
          <m:sub>
            <m:r>
              <m:t>1</m:t>
            </m:r>
          </m:sub>
        </m:sSub>
      </m:oMath>
      <w:r>
        <w:t xml:space="preserve">–</w:t>
      </w:r>
      <m:oMath>
        <m:sSub>
          <m:e>
            <m:r>
              <m:t>R</m:t>
            </m:r>
          </m:e>
          <m:sub>
            <m:r>
              <m:t>3</m:t>
            </m:r>
          </m:sub>
        </m:sSub>
      </m:oMath>
      <w:r>
        <w:t xml:space="preserve"> </w:t>
      </w:r>
      <w:r>
        <w:t xml:space="preserve">switch action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w:t>
      </w:r>
      <w:r>
        <w:t xml:space="preserve">(dotted). The Soft-block band holds only 776 alerts (3.9%) yet yields the entire cost gain over the 0.5 threshold; the Bayes cost rule (dashed) soft-blocks every alert above</w:t>
      </w:r>
      <w:r>
        <w:t xml:space="preserve"> </w:t>
      </w:r>
      <m:oMath>
        <m:r>
          <m:t>p</m:t>
        </m:r>
        <m:r>
          <m:rPr>
            <m:sty m:val="p"/>
          </m:rPr>
          <m:t>=</m:t>
        </m:r>
        <m:r>
          <m:t>2</m:t>
        </m:r>
        <m:r>
          <m:rPr>
            <m:sty m:val="p"/>
          </m:rPr>
          <m:t>/</m:t>
        </m:r>
        <m:r>
          <m:t>11</m:t>
        </m:r>
      </m:oMath>
      <w:r>
        <w:t xml:space="preserve">.</w:t>
      </w:r>
    </w:p>
    <w:bookmarkEnd w:id="16"/>
    <w:bookmarkStart w:id="17" w:name="cost-model-and-decision-metrics"/>
    <w:p>
      <w:pPr>
        <w:pStyle w:val="Heading2"/>
      </w:pPr>
      <w:r>
        <w:t xml:space="preserve">Cost model and decision metrics</w:t>
      </w:r>
    </w:p>
    <w:p>
      <w:pPr>
        <w:pStyle w:val="FirstParagraph"/>
      </w:pPr>
      <w:r>
        <w:t xml:space="preserve">Actions are scored with the relative cost matrix</w:t>
      </w:r>
    </w:p>
    <w:p>
      <w:pPr>
        <w:pStyle w:val="BodyText"/>
      </w:pPr>
      <m:oMathPara>
        <m:oMathParaPr>
          <m:jc m:val="center"/>
        </m:oMathParaPr>
        <m:oMath>
          <m:eqArr>
            <m:e>
              <m:r>
                <m:t>C</m:t>
              </m:r>
              <m:r>
                <m:rPr>
                  <m:sty m:val="p"/>
                </m:rPr>
                <m:t>(</m:t>
              </m:r>
              <m:r>
                <m:rPr>
                  <m:nor/>
                  <m:sty m:val="p"/>
                </m:rPr>
                <m:t>Monitor</m:t>
              </m:r>
              <m:r>
                <m:rPr>
                  <m:sty m:val="p"/>
                </m:rPr>
                <m:t>,</m:t>
              </m:r>
              <m:r>
                <m:t>y</m:t>
              </m:r>
              <m:r>
                <m:rPr>
                  <m:sty m:val="p"/>
                </m:rPr>
                <m:t>)</m:t>
              </m:r>
              <m:r>
                <m:t>&amp;</m:t>
              </m:r>
              <m:r>
                <m:rPr>
                  <m:sty m:val="p"/>
                </m:rPr>
                <m:t>=</m:t>
              </m:r>
              <m:sSub>
                <m:e>
                  <m:r>
                    <m:t>C</m:t>
                  </m:r>
                </m:e>
                <m:sub>
                  <m:r>
                    <m:t>F</m:t>
                  </m:r>
                  <m:r>
                    <m:t>N</m:t>
                  </m:r>
                </m:sub>
              </m:sSub>
              <m:r>
                <m:t> </m:t>
              </m:r>
              <m:r>
                <m:t>y</m:t>
              </m:r>
              <m:r>
                <m:rPr>
                  <m:sty m:val="p"/>
                </m:rPr>
                <m:t>,</m:t>
              </m:r>
              <m:r>
                <m:t>&amp;</m:t>
              </m:r>
              <m:r>
                <m:t>C</m:t>
              </m:r>
              <m:r>
                <m:rPr>
                  <m:sty m:val="p"/>
                </m:rPr>
                <m:t>(</m:t>
              </m:r>
              <m:r>
                <m:rPr>
                  <m:nor/>
                  <m:sty m:val="p"/>
                </m:rPr>
                <m:t>Soft-block</m:t>
              </m:r>
              <m:r>
                <m:rPr>
                  <m:sty m:val="p"/>
                </m:rPr>
                <m:t>,</m:t>
              </m:r>
              <m:r>
                <m:t>y</m:t>
              </m:r>
              <m:r>
                <m:rPr>
                  <m:sty m:val="p"/>
                </m:rPr>
                <m:t>)</m:t>
              </m:r>
              <m:r>
                <m:t>&amp;</m:t>
              </m:r>
              <m:r>
                <m:rPr>
                  <m:sty m:val="p"/>
                </m:rPr>
                <m:t>=</m:t>
              </m:r>
              <m:r>
                <m:t>1</m:t>
              </m:r>
              <m:r>
                <m:rPr>
                  <m:sty m:val="p"/>
                </m:rPr>
                <m:t>+</m:t>
              </m:r>
              <m:r>
                <m:rPr>
                  <m:sty m:val="p"/>
                </m:rPr>
                <m:t>(</m:t>
              </m:r>
              <m:r>
                <m:t>1</m:t>
              </m:r>
              <m:r>
                <m:rPr>
                  <m:sty m:val="p"/>
                </m:rPr>
                <m:t>−</m:t>
              </m:r>
              <m:r>
                <m:t>y</m:t>
              </m:r>
              <m:r>
                <m:rPr>
                  <m:sty m:val="p"/>
                </m:rPr>
                <m:t>)</m:t>
              </m:r>
              <m:r>
                <m:rPr>
                  <m:sty m:val="p"/>
                </m:rPr>
                <m:t>,</m:t>
              </m:r>
            </m:e>
            <m:e>
              <m:r>
                <m:t>C</m:t>
              </m:r>
              <m:r>
                <m:rPr>
                  <m:sty m:val="p"/>
                </m:rPr>
                <m:t>(</m:t>
              </m:r>
              <m:r>
                <m:rPr>
                  <m:nor/>
                  <m:sty m:val="p"/>
                </m:rPr>
                <m:t>Escalate</m:t>
              </m:r>
              <m:r>
                <m:rPr>
                  <m:sty m:val="p"/>
                </m:rPr>
                <m:t>,</m:t>
              </m:r>
              <m:r>
                <m:t>y</m:t>
              </m:r>
              <m:r>
                <m:rPr>
                  <m:sty m:val="p"/>
                </m:rPr>
                <m:t>)</m:t>
              </m:r>
              <m:r>
                <m:t>&amp;</m:t>
              </m:r>
              <m:r>
                <m:rPr>
                  <m:sty m:val="p"/>
                </m:rPr>
                <m:t>=</m:t>
              </m:r>
              <m:r>
                <m:t>3</m:t>
              </m:r>
              <m:r>
                <m:rPr>
                  <m:sty m:val="p"/>
                </m:rPr>
                <m:t>+</m:t>
              </m:r>
              <m:r>
                <m:t>3</m:t>
              </m:r>
              <m:r>
                <m:rPr>
                  <m:sty m:val="p"/>
                </m:rPr>
                <m:t>(</m:t>
              </m:r>
              <m:r>
                <m:t>1</m:t>
              </m:r>
              <m:r>
                <m:rPr>
                  <m:sty m:val="p"/>
                </m:rPr>
                <m:t>−</m:t>
              </m:r>
              <m:r>
                <m:t>y</m:t>
              </m:r>
              <m:r>
                <m:rPr>
                  <m:sty m:val="p"/>
                </m:rPr>
                <m:t>)</m:t>
              </m:r>
              <m:r>
                <m:rPr>
                  <m:sty m:val="p"/>
                </m:rPr>
                <m:t>,</m:t>
              </m:r>
              <m:r>
                <m:t>&amp;</m:t>
              </m:r>
              <m:sSub>
                <m:e>
                  <m:r>
                    <m:t>C</m:t>
                  </m:r>
                </m:e>
                <m:sub>
                  <m:r>
                    <m:t>F</m:t>
                  </m:r>
                  <m:r>
                    <m:t>N</m:t>
                  </m:r>
                </m:sub>
              </m:sSub>
              <m:r>
                <m:t>&amp;</m:t>
              </m:r>
              <m:r>
                <m:rPr>
                  <m:sty m:val="p"/>
                </m:rPr>
                <m:t>=</m:t>
              </m:r>
              <m:r>
                <m:t>10</m:t>
              </m:r>
              <m:r>
                <m:rPr>
                  <m:sty m:val="p"/>
                </m:rPr>
                <m:t>,</m:t>
              </m:r>
            </m:e>
          </m:eqArr>
          <m:r>
            <m:t>  </m:t>
          </m:r>
          <m:r>
            <m:rPr>
              <m:sty m:val="p"/>
            </m:rPr>
            <m:t>(</m:t>
          </m:r>
          <m:r>
            <m:t>6</m:t>
          </m:r>
          <m:r>
            <m:rPr>
              <m:sty m:val="p"/>
            </m:rPr>
            <m:t>)</m:t>
          </m:r>
        </m:oMath>
      </m:oMathPara>
    </w:p>
    <w:p>
      <w:pPr>
        <w:pStyle w:val="FirstParagraph"/>
      </w:pPr>
      <w:r>
        <w:t xml:space="preserve">so a missed attack costs 10 units, containing an attack 1 unit and escalating a benign alert 6 units. Policies are compared by the mean triage cost</w:t>
      </w:r>
      <w:r>
        <w:t xml:space="preserve"> </w:t>
      </w:r>
      <m:oMath>
        <m:acc>
          <m:accPr>
            <m:chr m:val="‾"/>
          </m:accPr>
          <m:e>
            <m:r>
              <m:t>C</m:t>
            </m:r>
          </m:e>
        </m:acc>
        <m:r>
          <m:rPr>
            <m:sty m:val="p"/>
          </m:rPr>
          <m:t>=</m:t>
        </m:r>
        <m:f>
          <m:fPr>
            <m:type m:val="bar"/>
          </m:fPr>
          <m:num>
            <m:r>
              <m:t>1</m:t>
            </m:r>
          </m:num>
          <m:den>
            <m:r>
              <m:t>N</m:t>
            </m:r>
          </m:den>
        </m:f>
        <m:nary>
          <m:naryPr>
            <m:chr m:val="∑"/>
            <m:limLoc m:val="undOvr"/>
            <m:subHide m:val="off"/>
            <m:supHide m:val="on"/>
          </m:naryPr>
          <m:sub>
            <m:r>
              <m:t>i</m:t>
            </m:r>
          </m:sub>
          <m:sup>
            <m:r>
              <m:t>​</m:t>
            </m:r>
          </m:sup>
          <m:e>
            <m:r>
              <m:t>C</m:t>
            </m:r>
          </m:e>
        </m:nary>
        <m:r>
          <m:rPr>
            <m:sty m:val="p"/>
          </m:rPr>
          <m:t>(</m:t>
        </m:r>
        <m:sSub>
          <m:e>
            <m:r>
              <m:t>a</m:t>
            </m:r>
          </m:e>
          <m:sub>
            <m:r>
              <m:t>i</m:t>
            </m:r>
          </m:sub>
        </m:sSub>
        <m:r>
          <m:rPr>
            <m:sty m:val="p"/>
          </m:rPr>
          <m:t>,</m:t>
        </m:r>
        <m:sSub>
          <m:e>
            <m:r>
              <m:t>y</m:t>
            </m:r>
          </m:e>
          <m:sub>
            <m:r>
              <m:t>i</m:t>
            </m:r>
          </m:sub>
        </m:sSub>
        <m:r>
          <m:rPr>
            <m:sty m:val="p"/>
          </m:rPr>
          <m:t>)</m:t>
        </m:r>
      </m:oMath>
      <w:r>
        <w:t xml:space="preserve">, the attack coverage</w:t>
      </w:r>
      <w:r>
        <w:t xml:space="preserve"> </w:t>
      </w:r>
      <m:oMath>
        <m:nary>
          <m:naryPr>
            <m:chr m:val="∑"/>
            <m:limLoc m:val="undOvr"/>
            <m:subHide m:val="off"/>
            <m:supHide m:val="on"/>
          </m:naryPr>
          <m:sub>
            <m:r>
              <m:t>i</m:t>
            </m:r>
          </m:sub>
          <m:sup>
            <m:r>
              <m:t>​</m:t>
            </m:r>
          </m:sup>
          <m:e>
            <m:r>
              <m:rPr>
                <m:sty m:val="b"/>
              </m:rPr>
              <m:t>1</m:t>
            </m:r>
          </m:e>
        </m:nary>
        <m:r>
          <m:rPr>
            <m:sty m:val="p"/>
          </m:rPr>
          <m:t>[</m:t>
        </m:r>
        <m:sSub>
          <m:e>
            <m:r>
              <m:t>a</m:t>
            </m:r>
          </m:e>
          <m:sub>
            <m:r>
              <m:t>i</m:t>
            </m:r>
          </m:sub>
        </m:sSub>
        <m:r>
          <m:rPr>
            <m:sty m:val="p"/>
          </m:rPr>
          <m:t>≠</m:t>
        </m:r>
        <m:r>
          <m:rPr>
            <m:nor/>
            <m:sty m:val="p"/>
          </m:rPr>
          <m:t>Monitor</m:t>
        </m:r>
        <m:r>
          <m:rPr>
            <m:sty m:val="p"/>
          </m:rPr>
          <m:t>]</m:t>
        </m:r>
        <m:r>
          <m:t> </m:t>
        </m:r>
        <m:sSub>
          <m:e>
            <m:r>
              <m:t>y</m:t>
            </m:r>
          </m:e>
          <m:sub>
            <m:r>
              <m:t>i</m:t>
            </m:r>
          </m:sub>
        </m:sSub>
        <m:r>
          <m:rPr>
            <m:sty m:val="p"/>
          </m:rPr>
          <m:t>/</m:t>
        </m:r>
        <m:nary>
          <m:naryPr>
            <m:chr m:val="∑"/>
            <m:limLoc m:val="undOvr"/>
            <m:subHide m:val="off"/>
            <m:supHide m:val="on"/>
          </m:naryPr>
          <m:sub>
            <m:r>
              <m:t>i</m:t>
            </m:r>
          </m:sub>
          <m:sup>
            <m:r>
              <m:t>​</m:t>
            </m:r>
          </m:sup>
          <m:e>
            <m:sSub>
              <m:e>
                <m:r>
                  <m:t>y</m:t>
                </m:r>
              </m:e>
              <m:sub>
                <m:r>
                  <m:t>i</m:t>
                </m:r>
              </m:sub>
            </m:sSub>
          </m:e>
        </m:nary>
      </m:oMath>
      <w:r>
        <w:t xml:space="preserve"> </w:t>
      </w:r>
      <w:r>
        <w:t xml:space="preserve">and the number of unnecessary escalations (UE), i.e., escalated benign alerts. As a reference, we also report the plug-in Bayes cost rule</w:t>
      </w:r>
    </w:p>
    <w:p>
      <w:pPr>
        <w:pStyle w:val="BodyText"/>
      </w:pPr>
      <m:oMathPara>
        <m:oMathParaPr>
          <m:jc m:val="center"/>
        </m:oMathParaPr>
        <m:oMath>
          <m:sSubSup>
            <m:e>
              <m:r>
                <m:t>a</m:t>
              </m:r>
            </m:e>
            <m:sub>
              <m:r>
                <m:t>i</m:t>
              </m:r>
            </m:sub>
            <m:sup>
              <m:r>
                <m:t>B</m:t>
              </m:r>
            </m:sup>
          </m:sSubSup>
          <m:r>
            <m:rPr>
              <m:sty m:val="p"/>
            </m:rPr>
            <m:t>=</m:t>
          </m:r>
          <m:r>
            <m:rPr>
              <m:sty m:val="p"/>
            </m:rPr>
            <m:t>arg</m:t>
          </m:r>
          <m:limLow>
            <m:e>
              <m:r>
                <m:rPr>
                  <m:sty m:val="p"/>
                </m:rPr>
                <m:t>min</m:t>
              </m:r>
            </m:e>
            <m:lim>
              <m:r>
                <m:t>a</m:t>
              </m:r>
            </m:lim>
          </m:limLow>
          <m:r>
            <m:t> </m:t>
          </m:r>
          <m:d>
            <m:dPr>
              <m:begChr m:val="["/>
              <m:sepChr m:val=""/>
              <m:endChr m:val="]"/>
              <m:grow/>
            </m:dPr>
            <m:e>
              <m:r>
                <m:rPr>
                  <m:sty m:val="p"/>
                </m:rPr>
                <m:t>(</m:t>
              </m:r>
              <m:r>
                <m:t>1</m:t>
              </m:r>
              <m:r>
                <m:rPr>
                  <m:sty m:val="p"/>
                </m:rPr>
                <m:t>−</m:t>
              </m:r>
              <m:sSub>
                <m:e>
                  <m:r>
                    <m:t>p</m:t>
                  </m:r>
                </m:e>
                <m:sub>
                  <m:r>
                    <m:t>i</m:t>
                  </m:r>
                </m:sub>
              </m:sSub>
              <m:r>
                <m:rPr>
                  <m:sty m:val="p"/>
                </m:rPr>
                <m:t>)</m:t>
              </m:r>
              <m:r>
                <m:t> </m:t>
              </m:r>
              <m:r>
                <m:t>C</m:t>
              </m:r>
              <m:r>
                <m:rPr>
                  <m:sty m:val="p"/>
                </m:rPr>
                <m:t>(</m:t>
              </m:r>
              <m:r>
                <m:t>a</m:t>
              </m:r>
              <m:r>
                <m:rPr>
                  <m:sty m:val="p"/>
                </m:rPr>
                <m:t>,</m:t>
              </m:r>
              <m:r>
                <m:t>0</m:t>
              </m:r>
              <m:r>
                <m:rPr>
                  <m:sty m:val="p"/>
                </m:rPr>
                <m:t>)</m:t>
              </m:r>
              <m:r>
                <m:rPr>
                  <m:sty m:val="p"/>
                </m:rPr>
                <m:t>+</m:t>
              </m:r>
              <m:sSub>
                <m:e>
                  <m:r>
                    <m:t>p</m:t>
                  </m:r>
                </m:e>
                <m:sub>
                  <m:r>
                    <m:t>i</m:t>
                  </m:r>
                </m:sub>
              </m:sSub>
              <m:r>
                <m:t> </m:t>
              </m:r>
              <m:r>
                <m:t>C</m:t>
              </m:r>
              <m:r>
                <m:rPr>
                  <m:sty m:val="p"/>
                </m:rPr>
                <m:t>(</m:t>
              </m:r>
              <m:r>
                <m:t>a</m:t>
              </m:r>
              <m:r>
                <m:rPr>
                  <m:sty m:val="p"/>
                </m:rPr>
                <m:t>,</m:t>
              </m:r>
              <m:r>
                <m:t>1</m:t>
              </m:r>
              <m:r>
                <m:rPr>
                  <m:sty m:val="p"/>
                </m:rPr>
                <m:t>)</m:t>
              </m:r>
            </m:e>
          </m:d>
          <m:r>
            <m:rPr>
              <m:sty m:val="p"/>
            </m:rPr>
            <m:t>,</m:t>
          </m:r>
          <m:r>
            <m:t>  </m:t>
          </m:r>
          <m:r>
            <m:rPr>
              <m:sty m:val="p"/>
            </m:rPr>
            <m:t>(</m:t>
          </m:r>
          <m:r>
            <m:t>7</m:t>
          </m:r>
          <m:r>
            <m:rPr>
              <m:sty m:val="p"/>
            </m:rPr>
            <m:t>)</m:t>
          </m:r>
        </m:oMath>
      </m:oMathPara>
    </w:p>
    <w:p>
      <w:pPr>
        <w:pStyle w:val="FirstParagraph"/>
      </w:pPr>
      <w:r>
        <w:t xml:space="preserve">which treats</w:t>
      </w:r>
      <w:r>
        <w:t xml:space="preserve"> </w:t>
      </w:r>
      <m:oMath>
        <m:sSub>
          <m:e>
            <m:r>
              <m:t>p</m:t>
            </m:r>
          </m:e>
          <m:sub>
            <m:r>
              <m:t>i</m:t>
            </m:r>
          </m:sub>
        </m:sSub>
      </m:oMath>
      <w:r>
        <w:t xml:space="preserve"> </w:t>
      </w:r>
      <w:r>
        <w:t xml:space="preserve">as a calibrated probability, an assumption that deep-model scores do not guarantee [26]. Because</w:t>
      </w:r>
      <w:r>
        <w:t xml:space="preserve"> </w:t>
      </w:r>
      <m:oMath>
        <m:r>
          <m:t>C</m:t>
        </m:r>
        <m:r>
          <m:rPr>
            <m:sty m:val="p"/>
          </m:rPr>
          <m:t>(</m:t>
        </m:r>
        <m:r>
          <m:rPr>
            <m:nor/>
            <m:sty m:val="p"/>
          </m:rPr>
          <m:t>Soft-block</m:t>
        </m:r>
        <m:r>
          <m:rPr>
            <m:sty m:val="p"/>
          </m:rPr>
          <m:t>,</m:t>
        </m:r>
        <m:r>
          <m:t>y</m:t>
        </m:r>
        <m:r>
          <m:rPr>
            <m:sty m:val="p"/>
          </m:rPr>
          <m:t>)</m:t>
        </m:r>
        <m:r>
          <m:rPr>
            <m:sty m:val="p"/>
          </m:rPr>
          <m:t>&lt;</m:t>
        </m:r>
        <m:r>
          <m:t>C</m:t>
        </m:r>
        <m:r>
          <m:rPr>
            <m:sty m:val="p"/>
          </m:rPr>
          <m:t>(</m:t>
        </m:r>
        <m:r>
          <m:rPr>
            <m:nor/>
            <m:sty m:val="p"/>
          </m:rPr>
          <m:t>Escalate</m:t>
        </m:r>
        <m:r>
          <m:rPr>
            <m:sty m:val="p"/>
          </m:rPr>
          <m:t>,</m:t>
        </m:r>
        <m:r>
          <m:t>y</m:t>
        </m:r>
        <m:r>
          <m:rPr>
            <m:sty m:val="p"/>
          </m:rPr>
          <m:t>)</m:t>
        </m:r>
      </m:oMath>
      <w:r>
        <w:t xml:space="preserve"> </w:t>
      </w:r>
      <w:r>
        <w:t xml:space="preserve">for both classes, Eq. (7) never escalates and soft-blocks whenever</w:t>
      </w:r>
      <w:r>
        <w:t xml:space="preserve"> </w:t>
      </w:r>
      <m:oMath>
        <m:sSub>
          <m:e>
            <m:r>
              <m:t>p</m:t>
            </m:r>
          </m:e>
          <m:sub>
            <m:r>
              <m:t>i</m:t>
            </m:r>
          </m:sub>
        </m:sSub>
        <m:r>
          <m:rPr>
            <m:sty m:val="p"/>
          </m:rPr>
          <m:t>&gt;</m:t>
        </m:r>
        <m:r>
          <m:t>2</m:t>
        </m:r>
        <m:r>
          <m:rPr>
            <m:sty m:val="p"/>
          </m:rPr>
          <m:t>/</m:t>
        </m:r>
        <m:r>
          <m:t>11</m:t>
        </m:r>
      </m:oMath>
      <w:r>
        <w:t xml:space="preserve">.</w:t>
      </w:r>
    </w:p>
    <w:bookmarkEnd w:id="17"/>
    <w:bookmarkEnd w:id="18"/>
    <w:bookmarkStart w:id="19" w:name="experimental-design"/>
    <w:p>
      <w:pPr>
        <w:pStyle w:val="Heading1"/>
      </w:pPr>
      <w:r>
        <w:t xml:space="preserve">Experimental design</w:t>
      </w:r>
    </w:p>
    <w:p>
      <w:pPr>
        <w:pStyle w:val="FirstParagraph"/>
      </w:pPr>
      <w:r>
        <w:rPr>
          <w:i/>
          <w:iCs/>
        </w:rPr>
        <w:t xml:space="preserve">Data.</w:t>
      </w:r>
      <w:r>
        <w:t xml:space="preserve"> </w:t>
      </w:r>
      <w:r>
        <w:t xml:space="preserve">We use the NSL-KDD benchmark [27]. For CPU-scale reproducibility, 40,000 training records are sampled and split (stratified) into 34,000 training and 6,000 validation records; the scaler and encoder are fitted on training data only. The test set is capped at 20,000 records (attack rate 0.568) and contains attack types absent from training, so train/test shift is part of the task.</w:t>
      </w:r>
    </w:p>
    <w:p>
      <w:pPr>
        <w:pStyle w:val="BodyText"/>
      </w:pPr>
      <w:r>
        <w:rPr>
          <w:i/>
          <w:iCs/>
        </w:rPr>
        <w:t xml:space="preserve">Baselines.</w:t>
      </w:r>
      <w:r>
        <w:t xml:space="preserve"> </w:t>
      </w:r>
      <w:r>
        <w:t xml:space="preserve">The detectors are class-balanced logistic regression, gradient boosting (GB) [28] with scikit-learn defaults and the MLP alone; the proposed policy shares the MLP propensity, so any benefit must appear in decisions. Decision baselines act on the same scores: a Monitor/Escalate threshold at 0.5, the same threshold tuned on validation data to minimise cost (threshold moving [18]) and escalation of the top 20% of scores, a fixed analyst-capacity rule. The Bayes cost rule is a reference only; learned policies [24] need interaction data and are excluded.</w:t>
      </w:r>
    </w:p>
    <w:p>
      <w:pPr>
        <w:pStyle w:val="BodyText"/>
      </w:pPr>
      <w:r>
        <w:rPr>
          <w:i/>
          <w:iCs/>
        </w:rPr>
        <w:t xml:space="preserve">Statistics.</w:t>
      </w:r>
      <w:r>
        <w:t xml:space="preserve"> </w:t>
      </w:r>
      <w:r>
        <w:t xml:space="preserve">On the seed-42 test set, we report percentile 95% confidence intervals (CIs) from 2,000 paired bootstrap resamples of alerts [29] and two-sided Wilcoxon signed-rank tests on per-alert cost differences [30]. The full pipeline is repeated for seeds 42–51 (paired Wilcoxon test across seeds), and two sweeps vary the missed-attack cost</w:t>
      </w:r>
      <w:r>
        <w:t xml:space="preserve"> </w:t>
      </w:r>
      <m:oMath>
        <m:sSub>
          <m:e>
            <m:r>
              <m:t>C</m:t>
            </m:r>
          </m:e>
          <m:sub>
            <m:r>
              <m:t>F</m:t>
            </m:r>
            <m:r>
              <m:t>N</m:t>
            </m:r>
          </m:sub>
        </m:sSub>
      </m:oMath>
      <w:r>
        <w:t xml:space="preserve"> </w:t>
      </w:r>
      <w:r>
        <w:t xml:space="preserve">from 2 to 30 and the Medium-band half-width from 0.25 to 0.45.</w:t>
      </w:r>
    </w:p>
    <w:bookmarkEnd w:id="19"/>
    <w:bookmarkStart w:id="23" w:name="results-and-discussion"/>
    <w:p>
      <w:pPr>
        <w:pStyle w:val="Heading1"/>
      </w:pPr>
      <w:r>
        <w:t xml:space="preserve">Results and discussion</w:t>
      </w:r>
    </w:p>
    <w:p>
      <w:pPr>
        <w:pStyle w:val="TableCaption"/>
      </w:pPr>
      <w:r>
        <w:rPr>
          <w:b/>
          <w:bCs/>
        </w:rPr>
        <w:t xml:space="preserve">Table 2.</w:t>
      </w:r>
      <w:r>
        <w:t xml:space="preserve"> </w:t>
      </w:r>
      <w:r>
        <w:t xml:space="preserve">Main results (seed 42;</w:t>
      </w:r>
      <w:r>
        <w:t xml:space="preserve"> </w:t>
      </w:r>
      <m:oMath>
        <m:r>
          <m:t>N</m:t>
        </m:r>
        <m:r>
          <m:rPr>
            <m:sty m:val="p"/>
          </m:rPr>
          <m:t>=</m:t>
        </m:r>
        <m:r>
          <m:t>20</m:t>
        </m:r>
        <m:r>
          <m:rPr>
            <m:sty m:val="p"/>
          </m:rPr>
          <m:t>,</m:t>
        </m:r>
        <m:r>
          <m:t>000</m:t>
        </m:r>
      </m:oMath>
      <w:r>
        <w:t xml:space="preserve"> </w:t>
      </w:r>
      <w:r>
        <w:t xml:space="preserve">test alerts). Gradient boosting is the best detector, but on identical MLP scores the fuzzy rule policy has the lowest cost and highest coverage of the deployable policies. Brackets: paired bootstrap 95% CIs;</w:t>
      </w:r>
      <w:r>
        <w:t xml:space="preserve"> </w:t>
      </w:r>
      <m:oMath>
        <m:r>
          <m:rPr>
            <m:sty m:val="p"/>
          </m:rPr>
          <m:t>Δ</m:t>
        </m:r>
        <m:acc>
          <m:accPr>
            <m:chr m:val="‾"/>
          </m:accPr>
          <m:e>
            <m:r>
              <m:t>C</m:t>
            </m:r>
          </m:e>
        </m:acc>
      </m:oMath>
      <w:r>
        <w:t xml:space="preserve">: difference from the proposed policy;</w:t>
      </w:r>
      <w:r>
        <w:t xml:space="preserve"> </w:t>
      </w:r>
      <m:oMath>
        <m:r>
          <m:t>p</m:t>
        </m:r>
      </m:oMath>
      <w:r>
        <w:t xml:space="preserve">: two-sided Wilcoxon signed-rank test on per-alert costs; 10 seeds: mean</w:t>
      </w:r>
      <w:r>
        <w:t xml:space="preserve"> </w:t>
      </w:r>
      <m:oMath>
        <m:r>
          <m:rPr>
            <m:sty m:val="p"/>
          </m:rPr>
          <m:t>±</m:t>
        </m:r>
      </m:oMath>
      <w:r>
        <w:t xml:space="preserve"> </w:t>
      </w:r>
      <w:r>
        <w:t xml:space="preserve">SD over seeds 42–51. Bold: best in Panels A and B1.</w:t>
      </w:r>
    </w:p>
    <w:tbl>
      <w:tblPr>
        <w:tblStyle w:val="Table"/>
        <w:tblW w:type="pct" w:w="5000"/>
        <w:tblLayout w:type="fixed"/>
        <w:tblLook w:firstRow="1" w:lastRow="0" w:firstColumn="0" w:lastColumn="0" w:noHBand="0" w:noVBand="0" w:val="0020"/>
        <w:tblCaption w:val="Table 2. Main results (seed 42; N=20{,}000 test alerts). Gradient boosting is the best detector, but on identical MLP scores the fuzzy rule policy has the lowest cost and highest coverage of the deployable policies. Brackets: paired bootstrap 95% CIs; \Delta\bar C: difference from the proposed policy; p: two-sided Wilcoxon signed-rank test on per-alert costs; 10 seeds: mean \pm SD over seeds 42–51. Bold: best in Panels A and B1."/>
      </w:tblPr>
      <w:tblGrid>
        <w:gridCol w:w="990"/>
        <w:gridCol w:w="990"/>
        <w:gridCol w:w="990"/>
        <w:gridCol w:w="990"/>
        <w:gridCol w:w="990"/>
        <w:gridCol w:w="990"/>
        <w:gridCol w:w="990"/>
        <w:gridCol w:w="990"/>
      </w:tblGrid>
      <w:tr>
        <w:trPr>
          <w:tblHeader w:val="on"/>
        </w:trPr>
        <w:tc>
          <w:tcPr/>
          <w:p>
            <w:pPr>
              <w:pStyle w:val="Compact"/>
              <w:jc w:val="left"/>
            </w:pPr>
            <w:r>
              <w:rPr>
                <w:i/>
                <w:iCs/>
              </w:rPr>
              <w:t xml:space="preserve">Panel A. Detector quality (threshold 0.5 for accuracy and F1)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Detector</w:t>
            </w:r>
          </w:p>
        </w:tc>
        <w:tc>
          <w:tcPr/>
          <w:p>
            <w:pPr>
              <w:pStyle w:val="Compact"/>
            </w:pPr>
          </w:p>
        </w:tc>
        <w:tc>
          <w:tcPr/>
          <w:p>
            <w:pPr>
              <w:pStyle w:val="Compact"/>
              <w:jc w:val="center"/>
            </w:pPr>
            <w:r>
              <w:t xml:space="preserve">Accuracy</w:t>
            </w:r>
          </w:p>
        </w:tc>
        <w:tc>
          <w:tcPr/>
          <w:p>
            <w:pPr>
              <w:pStyle w:val="Compact"/>
              <w:jc w:val="center"/>
            </w:pPr>
            <w:r>
              <w:t xml:space="preserve">F1</w:t>
            </w:r>
          </w:p>
        </w:tc>
        <w:tc>
          <w:tcPr/>
          <w:p>
            <w:pPr>
              <w:pStyle w:val="Compact"/>
              <w:jc w:val="center"/>
            </w:pPr>
            <w:r>
              <w:t xml:space="preserve">ROC-AUC</w:t>
            </w:r>
          </w:p>
        </w:tc>
        <w:tc>
          <w:tcPr/>
          <w:p>
            <w:pPr>
              <w:pStyle w:val="Compact"/>
              <w:jc w:val="center"/>
            </w:pPr>
            <w:r>
              <w:t xml:space="preserve">PR-AUC</w:t>
            </w:r>
          </w:p>
        </w:tc>
        <w:tc>
          <w:tcPr/>
          <w:p>
            <w:pPr>
              <w:pStyle w:val="Compact"/>
            </w:pPr>
          </w:p>
        </w:tc>
        <w:tc>
          <w:tcPr/>
          <w:p>
            <w:pPr>
              <w:pStyle w:val="Compact"/>
              <w:jc w:val="center"/>
            </w:pPr>
            <w:r>
              <w:t xml:space="preserve">ROC-AUC, 10 seeds</w:t>
            </w:r>
          </w:p>
        </w:tc>
      </w:tr>
      <w:tr>
        <w:tc>
          <w:tcPr/>
          <w:p>
            <w:pPr>
              <w:pStyle w:val="Compact"/>
              <w:jc w:val="left"/>
            </w:pPr>
            <w:r>
              <w:t xml:space="preserve">Logistic regression</w:t>
            </w:r>
          </w:p>
        </w:tc>
        <w:tc>
          <w:tcPr/>
          <w:p>
            <w:pPr>
              <w:pStyle w:val="Compact"/>
            </w:pPr>
          </w:p>
        </w:tc>
        <w:tc>
          <w:tcPr/>
          <w:p>
            <w:pPr>
              <w:pStyle w:val="Compact"/>
              <w:jc w:val="center"/>
            </w:pPr>
            <w:r>
              <w:t xml:space="preserve">0.752</w:t>
            </w:r>
          </w:p>
        </w:tc>
        <w:tc>
          <w:tcPr/>
          <w:p>
            <w:pPr>
              <w:pStyle w:val="Compact"/>
              <w:jc w:val="center"/>
            </w:pPr>
            <w:r>
              <w:t xml:space="preserve">0.740</w:t>
            </w:r>
          </w:p>
        </w:tc>
        <w:tc>
          <w:tcPr/>
          <w:p>
            <w:pPr>
              <w:pStyle w:val="Compact"/>
              <w:jc w:val="center"/>
            </w:pPr>
            <w:r>
              <w:t xml:space="preserve">0.818</w:t>
            </w:r>
          </w:p>
        </w:tc>
        <w:tc>
          <w:tcPr/>
          <w:p>
            <w:pPr>
              <w:pStyle w:val="Compact"/>
              <w:jc w:val="center"/>
            </w:pPr>
            <w:r>
              <w:t xml:space="preserve">0.879</w:t>
            </w:r>
          </w:p>
        </w:tc>
        <w:tc>
          <w:tcPr/>
          <w:p>
            <w:pPr>
              <w:pStyle w:val="Compact"/>
            </w:pPr>
          </w:p>
        </w:tc>
        <w:tc>
          <w:tcPr/>
          <w:p>
            <w:pPr>
              <w:pStyle w:val="Compact"/>
              <w:jc w:val="center"/>
            </w:pPr>
            <m:oMath>
              <m:r>
                <m:t>0.812</m:t>
              </m:r>
              <m:r>
                <m:rPr>
                  <m:sty m:val="p"/>
                </m:rPr>
                <m:t>±</m:t>
              </m:r>
              <m:r>
                <m:t>0.008</m:t>
              </m:r>
            </m:oMath>
          </w:p>
        </w:tc>
      </w:tr>
      <w:tr>
        <w:tc>
          <w:tcPr/>
          <w:p>
            <w:pPr>
              <w:pStyle w:val="Compact"/>
              <w:jc w:val="left"/>
            </w:pPr>
            <w:r>
              <w:t xml:space="preserve">Gradient boosting</w:t>
            </w:r>
          </w:p>
        </w:tc>
        <w:tc>
          <w:tcPr/>
          <w:p>
            <w:pPr>
              <w:pStyle w:val="Compact"/>
            </w:pPr>
          </w:p>
        </w:tc>
        <w:tc>
          <w:tcPr/>
          <w:p>
            <w:pPr>
              <w:pStyle w:val="Compact"/>
              <w:jc w:val="center"/>
            </w:pPr>
            <w:r>
              <w:rPr>
                <w:b/>
                <w:bCs/>
              </w:rPr>
              <w:t xml:space="preserve">0.786</w:t>
            </w:r>
          </w:p>
        </w:tc>
        <w:tc>
          <w:tcPr/>
          <w:p>
            <w:pPr>
              <w:pStyle w:val="Compact"/>
              <w:jc w:val="center"/>
            </w:pPr>
            <w:r>
              <w:rPr>
                <w:b/>
                <w:bCs/>
              </w:rPr>
              <w:t xml:space="preserve">0.774</w:t>
            </w:r>
          </w:p>
        </w:tc>
        <w:tc>
          <w:tcPr/>
          <w:p>
            <w:pPr>
              <w:pStyle w:val="Compact"/>
              <w:jc w:val="center"/>
            </w:pPr>
            <w:r>
              <w:rPr>
                <w:b/>
                <w:bCs/>
              </w:rPr>
              <w:t xml:space="preserve">0.947</w:t>
            </w:r>
          </w:p>
        </w:tc>
        <w:tc>
          <w:tcPr/>
          <w:p>
            <w:pPr>
              <w:pStyle w:val="Compact"/>
              <w:jc w:val="center"/>
            </w:pPr>
            <w:r>
              <w:rPr>
                <w:b/>
                <w:bCs/>
              </w:rPr>
              <w:t xml:space="preserve">0.951</w:t>
            </w:r>
          </w:p>
        </w:tc>
        <w:tc>
          <w:tcPr/>
          <w:p>
            <w:pPr>
              <w:pStyle w:val="Compact"/>
            </w:pPr>
          </w:p>
        </w:tc>
        <w:tc>
          <w:tcPr/>
          <w:p>
            <w:pPr>
              <w:pStyle w:val="Compact"/>
              <w:jc w:val="center"/>
            </w:pPr>
            <m:oMath>
              <m:r>
                <m:rPr>
                  <m:sty m:val="b"/>
                </m:rPr>
                <m:t>0.936</m:t>
              </m:r>
              <m:r>
                <m:rPr>
                  <m:sty m:val="b"/>
                </m:rPr>
                <m:t>±</m:t>
              </m:r>
              <m:r>
                <m:rPr>
                  <m:sty m:val="b"/>
                </m:rPr>
                <m:t>0.010</m:t>
              </m:r>
            </m:oMath>
          </w:p>
        </w:tc>
      </w:tr>
      <w:tr>
        <w:tc>
          <w:tcPr/>
          <w:p>
            <w:pPr>
              <w:pStyle w:val="Compact"/>
              <w:jc w:val="left"/>
            </w:pPr>
            <w:r>
              <w:t xml:space="preserve">MLP (input to proposed policy)</w:t>
            </w:r>
          </w:p>
        </w:tc>
        <w:tc>
          <w:tcPr/>
          <w:p>
            <w:pPr>
              <w:pStyle w:val="Compact"/>
            </w:pPr>
          </w:p>
        </w:tc>
        <w:tc>
          <w:tcPr/>
          <w:p>
            <w:pPr>
              <w:pStyle w:val="Compact"/>
              <w:jc w:val="center"/>
            </w:pPr>
            <w:r>
              <w:t xml:space="preserve">0.773</w:t>
            </w:r>
          </w:p>
        </w:tc>
        <w:tc>
          <w:tcPr/>
          <w:p>
            <w:pPr>
              <w:pStyle w:val="Compact"/>
              <w:jc w:val="center"/>
            </w:pPr>
            <w:r>
              <w:t xml:space="preserve">0.766</w:t>
            </w:r>
          </w:p>
        </w:tc>
        <w:tc>
          <w:tcPr/>
          <w:p>
            <w:pPr>
              <w:pStyle w:val="Compact"/>
              <w:jc w:val="center"/>
            </w:pPr>
            <w:r>
              <w:t xml:space="preserve">0.908</w:t>
            </w:r>
          </w:p>
        </w:tc>
        <w:tc>
          <w:tcPr/>
          <w:p>
            <w:pPr>
              <w:pStyle w:val="Compact"/>
              <w:jc w:val="center"/>
            </w:pPr>
            <w:r>
              <w:t xml:space="preserve">0.923</w:t>
            </w:r>
          </w:p>
        </w:tc>
        <w:tc>
          <w:tcPr/>
          <w:p>
            <w:pPr>
              <w:pStyle w:val="Compact"/>
            </w:pPr>
          </w:p>
        </w:tc>
        <w:tc>
          <w:tcPr/>
          <w:p>
            <w:pPr>
              <w:pStyle w:val="Compact"/>
              <w:jc w:val="center"/>
            </w:pPr>
            <m:oMath>
              <m:r>
                <m:t>0.900</m:t>
              </m:r>
              <m:r>
                <m:rPr>
                  <m:sty m:val="p"/>
                </m:rPr>
                <m:t>±</m:t>
              </m:r>
              <m:r>
                <m:t>0.007</m:t>
              </m:r>
            </m:oMath>
          </w:p>
        </w:tc>
      </w:tr>
      <w:tr>
        <w:tc>
          <w:tcPr/>
          <w:p>
            <w:pPr>
              <w:pStyle w:val="Compact"/>
              <w:jc w:val="left"/>
            </w:pPr>
            <w:r>
              <w:rPr>
                <w:i/>
                <w:iCs/>
              </w:rPr>
              <w:t xml:space="preserve">Panel B1. Decision policies on identical MLP scores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Policy</w:t>
            </w:r>
          </w:p>
        </w:tc>
        <w:tc>
          <w:tcPr/>
          <w:p>
            <w:pPr>
              <w:pStyle w:val="Compact"/>
              <w:jc w:val="left"/>
            </w:pPr>
            <w:r>
              <w:t xml:space="preserve">Scores</w:t>
            </w:r>
          </w:p>
        </w:tc>
        <w:tc>
          <w:tcPr/>
          <w:p>
            <w:pPr>
              <w:pStyle w:val="Compact"/>
              <w:jc w:val="center"/>
            </w:pPr>
            <m:oMath>
              <m:acc>
                <m:accPr>
                  <m:chr m:val="‾"/>
                </m:accPr>
                <m:e>
                  <m:r>
                    <m:t>C</m:t>
                  </m:r>
                </m:e>
              </m:acc>
            </m:oMath>
          </w:p>
        </w:tc>
        <w:tc>
          <w:tcPr/>
          <w:p>
            <w:pPr>
              <w:pStyle w:val="Compact"/>
              <w:jc w:val="center"/>
            </w:pPr>
            <w:r>
              <w:t xml:space="preserve">Coverage</w:t>
            </w:r>
          </w:p>
        </w:tc>
        <w:tc>
          <w:tcPr/>
          <w:p>
            <w:pPr>
              <w:pStyle w:val="Compact"/>
              <w:jc w:val="center"/>
            </w:pPr>
            <w:r>
              <w:t xml:space="preserve">UE</w:t>
            </w:r>
          </w:p>
        </w:tc>
        <w:tc>
          <w:tcPr/>
          <w:p>
            <w:pPr>
              <w:pStyle w:val="Compact"/>
              <w:jc w:val="center"/>
            </w:pPr>
            <m:oMath>
              <m:r>
                <m:rPr>
                  <m:sty m:val="p"/>
                </m:rPr>
                <m:t>Δ</m:t>
              </m:r>
              <m:acc>
                <m:accPr>
                  <m:chr m:val="‾"/>
                </m:accPr>
                <m:e>
                  <m:r>
                    <m:t>C</m:t>
                  </m:r>
                </m:e>
              </m:acc>
            </m:oMath>
          </w:p>
        </w:tc>
        <w:tc>
          <w:tcPr/>
          <w:p>
            <w:pPr>
              <w:pStyle w:val="Compact"/>
              <w:jc w:val="center"/>
            </w:pPr>
            <m:oMath>
              <m:r>
                <m:t>p</m:t>
              </m:r>
            </m:oMath>
          </w:p>
        </w:tc>
        <w:tc>
          <w:tcPr/>
          <w:p>
            <w:pPr>
              <w:pStyle w:val="Compact"/>
              <w:jc w:val="center"/>
            </w:pPr>
            <m:oMath>
              <m:acc>
                <m:accPr>
                  <m:chr m:val="‾"/>
                </m:accPr>
                <m:e>
                  <m:r>
                    <m:t>C</m:t>
                  </m:r>
                </m:e>
              </m:acc>
            </m:oMath>
            <w:r>
              <w:t xml:space="preserve">, 10 seeds</w:t>
            </w:r>
          </w:p>
        </w:tc>
      </w:tr>
      <w:tr>
        <w:tc>
          <w:tcPr/>
          <w:p>
            <w:pPr>
              <w:pStyle w:val="Compact"/>
              <w:jc w:val="left"/>
            </w:pPr>
            <w:r>
              <w:t xml:space="preserve">Threshold 0.5</w:t>
            </w:r>
          </w:p>
        </w:tc>
        <w:tc>
          <w:tcPr/>
          <w:p>
            <w:pPr>
              <w:pStyle w:val="Compact"/>
              <w:jc w:val="left"/>
            </w:pPr>
            <w:r>
              <w:t xml:space="preserve">MLP</w:t>
            </w:r>
          </w:p>
        </w:tc>
        <w:tc>
          <w:tcPr/>
          <w:p>
            <w:pPr>
              <w:pStyle w:val="Compact"/>
              <w:jc w:val="center"/>
            </w:pPr>
            <w:r>
              <w:t xml:space="preserve">3.264 [3.210, 3.316]</w:t>
            </w:r>
          </w:p>
        </w:tc>
        <w:tc>
          <w:tcPr/>
          <w:p>
            <w:pPr>
              <w:pStyle w:val="Compact"/>
              <w:jc w:val="center"/>
            </w:pPr>
            <w:r>
              <w:t xml:space="preserve">0.655 [0.646, 0.664]</w:t>
            </w:r>
          </w:p>
        </w:tc>
        <w:tc>
          <w:tcPr/>
          <w:p>
            <w:pPr>
              <w:pStyle w:val="Compact"/>
              <w:jc w:val="center"/>
            </w:pPr>
            <w:r>
              <w:t xml:space="preserve">623</w:t>
            </w:r>
          </w:p>
        </w:tc>
        <w:tc>
          <w:tcPr/>
          <w:p>
            <w:pPr>
              <w:pStyle w:val="Compact"/>
              <w:jc w:val="center"/>
            </w:pPr>
            <m:oMath>
              <m:r>
                <m:rPr>
                  <m:sty m:val="p"/>
                </m:rPr>
                <m:t>+</m:t>
              </m:r>
              <m:r>
                <m:t>0.196</m:t>
              </m:r>
            </m:oMath>
            <w:r>
              <w:t xml:space="preserve"> </w:t>
            </w:r>
            <w:r>
              <w:t xml:space="preserve">[0.180, 0.213]</w:t>
            </w:r>
          </w:p>
        </w:tc>
        <w:tc>
          <w:tcPr/>
          <w:p>
            <w:pPr>
              <w:pStyle w:val="Compact"/>
              <w:jc w:val="center"/>
            </w:pPr>
            <m:oMath>
              <m:r>
                <m:t>7.3</m:t>
              </m:r>
              <m:r>
                <m:rPr>
                  <m:sty m:val="p"/>
                </m:rPr>
                <m:t>×</m:t>
              </m:r>
              <m:sSup>
                <m:e>
                  <m:r>
                    <m:t>10</m:t>
                  </m:r>
                </m:e>
                <m:sup>
                  <m:r>
                    <m:rPr>
                      <m:sty m:val="p"/>
                    </m:rPr>
                    <m:t>−</m:t>
                  </m:r>
                  <m:r>
                    <m:t>124</m:t>
                  </m:r>
                </m:sup>
              </m:sSup>
            </m:oMath>
          </w:p>
        </w:tc>
        <w:tc>
          <w:tcPr/>
          <w:p>
            <w:pPr>
              <w:pStyle w:val="Compact"/>
              <w:jc w:val="center"/>
            </w:pPr>
            <m:oMath>
              <m:r>
                <m:t>3.246</m:t>
              </m:r>
              <m:r>
                <m:rPr>
                  <m:sty m:val="p"/>
                </m:rPr>
                <m:t>±</m:t>
              </m:r>
              <m:r>
                <m:t>0.076</m:t>
              </m:r>
            </m:oMath>
          </w:p>
        </w:tc>
      </w:tr>
      <w:tr>
        <w:tc>
          <w:tcPr/>
          <w:p>
            <w:pPr>
              <w:pStyle w:val="Compact"/>
              <w:jc w:val="left"/>
            </w:pPr>
            <w:r>
              <w:t xml:space="preserve">Top-20% escalation</w:t>
            </w:r>
          </w:p>
        </w:tc>
        <w:tc>
          <w:tcPr/>
          <w:p>
            <w:pPr>
              <w:pStyle w:val="Compact"/>
              <w:jc w:val="left"/>
            </w:pPr>
            <w:r>
              <w:t xml:space="preserve">MLP</w:t>
            </w:r>
          </w:p>
        </w:tc>
        <w:tc>
          <w:tcPr/>
          <w:p>
            <w:pPr>
              <w:pStyle w:val="Compact"/>
              <w:jc w:val="center"/>
            </w:pPr>
            <w:r>
              <w:t xml:space="preserve">4.309 [4.246, 4.372]</w:t>
            </w:r>
          </w:p>
        </w:tc>
        <w:tc>
          <w:tcPr/>
          <w:p>
            <w:pPr>
              <w:pStyle w:val="Compact"/>
              <w:jc w:val="center"/>
            </w:pPr>
            <w:r>
              <w:t xml:space="preserve">0.348 [0.339, 0.357]</w:t>
            </w:r>
          </w:p>
        </w:tc>
        <w:tc>
          <w:tcPr/>
          <w:p>
            <w:pPr>
              <w:pStyle w:val="Compact"/>
              <w:jc w:val="center"/>
            </w:pPr>
            <w:r>
              <w:rPr>
                <w:b/>
                <w:bCs/>
              </w:rPr>
              <w:t xml:space="preserve">47</w:t>
            </w:r>
          </w:p>
        </w:tc>
        <w:tc>
          <w:tcPr/>
          <w:p>
            <w:pPr>
              <w:pStyle w:val="Compact"/>
              <w:jc w:val="center"/>
            </w:pPr>
            <m:oMath>
              <m:r>
                <m:rPr>
                  <m:sty m:val="p"/>
                </m:rPr>
                <m:t>+</m:t>
              </m:r>
              <m:r>
                <m:t>1.242</m:t>
              </m:r>
            </m:oMath>
            <w:r>
              <w:t xml:space="preserve"> </w:t>
            </w:r>
            <w:r>
              <w:t xml:space="preserve">[1.196, 1.285]</w:t>
            </w:r>
          </w:p>
        </w:tc>
        <w:tc>
          <w:tcPr/>
          <w:p>
            <w:pPr>
              <w:pStyle w:val="Compact"/>
              <w:jc w:val="center"/>
            </w:pPr>
            <m:oMath>
              <m:r>
                <m:rPr>
                  <m:sty m:val="p"/>
                </m:rPr>
                <m:t>&lt;</m:t>
              </m:r>
              <m:sSup>
                <m:e>
                  <m:r>
                    <m:t>10</m:t>
                  </m:r>
                </m:e>
                <m:sup>
                  <m:r>
                    <m:rPr>
                      <m:sty m:val="p"/>
                    </m:rPr>
                    <m:t>−</m:t>
                  </m:r>
                  <m:r>
                    <m:t>300</m:t>
                  </m:r>
                </m:sup>
              </m:sSup>
            </m:oMath>
          </w:p>
        </w:tc>
        <w:tc>
          <w:tcPr/>
          <w:p>
            <w:pPr>
              <w:pStyle w:val="Compact"/>
              <w:jc w:val="center"/>
            </w:pPr>
            <m:oMath>
              <m:r>
                <m:t>4.318</m:t>
              </m:r>
              <m:r>
                <m:rPr>
                  <m:sty m:val="p"/>
                </m:rPr>
                <m:t>±</m:t>
              </m:r>
              <m:r>
                <m:t>0.009</m:t>
              </m:r>
            </m:oMath>
          </w:p>
        </w:tc>
      </w:tr>
      <w:tr>
        <w:tc>
          <w:tcPr/>
          <w:p>
            <w:pPr>
              <w:pStyle w:val="Compact"/>
              <w:jc w:val="left"/>
            </w:pPr>
            <w:r>
              <w:rPr>
                <w:b/>
                <w:bCs/>
              </w:rPr>
              <w:t xml:space="preserve">Fuzzy rule policy (proposed)</w:t>
            </w:r>
          </w:p>
        </w:tc>
        <w:tc>
          <w:tcPr/>
          <w:p>
            <w:pPr>
              <w:pStyle w:val="Compact"/>
              <w:jc w:val="left"/>
            </w:pPr>
            <w:r>
              <w:t xml:space="preserve">MLP</w:t>
            </w:r>
          </w:p>
        </w:tc>
        <w:tc>
          <w:tcPr/>
          <w:p>
            <w:pPr>
              <w:pStyle w:val="Compact"/>
              <w:jc w:val="center"/>
            </w:pPr>
            <w:r>
              <w:rPr>
                <w:b/>
                <w:bCs/>
              </w:rPr>
              <w:t xml:space="preserve">3.068</w:t>
            </w:r>
            <w:r>
              <w:t xml:space="preserve"> </w:t>
            </w:r>
            <w:r>
              <w:t xml:space="preserve">[3.016, 3.118]</w:t>
            </w:r>
          </w:p>
        </w:tc>
        <w:tc>
          <w:tcPr/>
          <w:p>
            <w:pPr>
              <w:pStyle w:val="Compact"/>
              <w:jc w:val="center"/>
            </w:pPr>
            <w:r>
              <w:rPr>
                <w:b/>
                <w:bCs/>
              </w:rPr>
              <w:t xml:space="preserve">0.686</w:t>
            </w:r>
            <w:r>
              <w:t xml:space="preserve"> </w:t>
            </w:r>
            <w:r>
              <w:t xml:space="preserve">[0.677, 0.694]</w:t>
            </w:r>
          </w:p>
        </w:tc>
        <w:tc>
          <w:tcPr/>
          <w:p>
            <w:pPr>
              <w:pStyle w:val="Compact"/>
              <w:jc w:val="center"/>
            </w:pPr>
            <w:r>
              <w:t xml:space="preserve">603</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b"/>
                </m:rPr>
                <m:t>3.088</m:t>
              </m:r>
              <m:r>
                <m:rPr>
                  <m:sty m:val="b"/>
                </m:rPr>
                <m:t>±</m:t>
              </m:r>
              <m:r>
                <m:rPr>
                  <m:sty m:val="b"/>
                </m:rPr>
                <m:t>0.081</m:t>
              </m:r>
            </m:oMath>
          </w:p>
        </w:tc>
      </w:tr>
      <w:tr>
        <w:tc>
          <w:tcPr/>
          <w:p>
            <w:pPr>
              <w:pStyle w:val="Compact"/>
              <w:jc w:val="left"/>
            </w:pPr>
            <w:r>
              <w:rPr>
                <w:i/>
                <w:iCs/>
              </w:rPr>
              <w:t xml:space="preserve">Panel B2. Ablations and references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Crisp bands at</w:t>
            </w:r>
            <w:r>
              <w:t xml:space="preserve"> </w:t>
            </w:r>
            <m:oMath>
              <m:r>
                <m:t>9</m:t>
              </m:r>
              <m:r>
                <m:rPr>
                  <m:sty m:val="p"/>
                </m:rPr>
                <m:t>/</m:t>
              </m:r>
              <m:r>
                <m:t>32</m:t>
              </m:r>
            </m:oMath>
            <w:r>
              <w:t xml:space="preserve">,</w:t>
            </w:r>
            <w:r>
              <w:t xml:space="preserve"> </w:t>
            </w:r>
            <m:oMath>
              <m:r>
                <m:t>23</m:t>
              </m:r>
              <m:r>
                <m:rPr>
                  <m:sty m:val="p"/>
                </m:rPr>
                <m:t>/</m:t>
              </m:r>
              <m:r>
                <m:t>32</m:t>
              </m:r>
            </m:oMath>
          </w:p>
        </w:tc>
        <w:tc>
          <w:tcPr/>
          <w:p>
            <w:pPr>
              <w:pStyle w:val="Compact"/>
              <w:jc w:val="left"/>
            </w:pPr>
            <w:r>
              <w:t xml:space="preserve">MLP</w:t>
            </w:r>
          </w:p>
        </w:tc>
        <w:tc>
          <w:tcPr/>
          <w:p>
            <w:pPr>
              <w:pStyle w:val="Compact"/>
              <w:jc w:val="center"/>
            </w:pPr>
            <w:r>
              <w:t xml:space="preserve">3.068</w:t>
            </w:r>
          </w:p>
        </w:tc>
        <w:tc>
          <w:tcPr/>
          <w:p>
            <w:pPr>
              <w:pStyle w:val="Compact"/>
              <w:jc w:val="center"/>
            </w:pPr>
            <w:r>
              <w:t xml:space="preserve">0.686</w:t>
            </w:r>
          </w:p>
        </w:tc>
        <w:tc>
          <w:tcPr/>
          <w:p>
            <w:pPr>
              <w:pStyle w:val="Compact"/>
              <w:jc w:val="center"/>
            </w:pPr>
            <w:r>
              <w:t xml:space="preserve">603</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Validation-tuned threshold</w:t>
            </w:r>
            <w:r>
              <w:t xml:space="preserve"> </w:t>
            </w:r>
            <m:oMath>
              <m:r>
                <m:t>t</m:t>
              </m:r>
              <m:r>
                <m:rPr>
                  <m:sty m:val="p"/>
                </m:rPr>
                <m:t>=</m:t>
              </m:r>
              <m:r>
                <m:t>0.53</m:t>
              </m:r>
            </m:oMath>
          </w:p>
        </w:tc>
        <w:tc>
          <w:tcPr/>
          <w:p>
            <w:pPr>
              <w:pStyle w:val="Compact"/>
              <w:jc w:val="left"/>
            </w:pPr>
            <w:r>
              <w:t xml:space="preserve">MLP</w:t>
            </w:r>
          </w:p>
        </w:tc>
        <w:tc>
          <w:tcPr/>
          <w:p>
            <w:pPr>
              <w:pStyle w:val="Compact"/>
              <w:jc w:val="center"/>
            </w:pPr>
            <w:r>
              <w:t xml:space="preserve">3.278</w:t>
            </w:r>
          </w:p>
        </w:tc>
        <w:tc>
          <w:tcPr/>
          <w:p>
            <w:pPr>
              <w:pStyle w:val="Compact"/>
              <w:jc w:val="center"/>
            </w:pPr>
            <w:r>
              <w:t xml:space="preserve">0.651</w:t>
            </w:r>
          </w:p>
        </w:tc>
        <w:tc>
          <w:tcPr/>
          <w:p>
            <w:pPr>
              <w:pStyle w:val="Compact"/>
              <w:jc w:val="center"/>
            </w:pPr>
            <w:r>
              <w:t xml:space="preserve">617</w:t>
            </w:r>
          </w:p>
        </w:tc>
        <w:tc>
          <w:tcPr/>
          <w:p>
            <w:pPr>
              <w:pStyle w:val="Compact"/>
              <w:jc w:val="center"/>
            </w:pPr>
            <m:oMath>
              <m:r>
                <m:rPr>
                  <m:sty m:val="p"/>
                </m:rPr>
                <m:t>+</m:t>
              </m:r>
              <m:r>
                <m:t>0.210</m:t>
              </m:r>
            </m:oMath>
          </w:p>
        </w:tc>
        <w:tc>
          <w:tcPr/>
          <w:p>
            <w:pPr>
              <w:pStyle w:val="Compact"/>
              <w:jc w:val="center"/>
            </w:pPr>
            <m:oMath>
              <m:r>
                <m:t>2.3</m:t>
              </m:r>
              <m:r>
                <m:rPr>
                  <m:sty m:val="p"/>
                </m:rPr>
                <m:t>×</m:t>
              </m:r>
              <m:sSup>
                <m:e>
                  <m:r>
                    <m:t>10</m:t>
                  </m:r>
                </m:e>
                <m:sup>
                  <m:r>
                    <m:rPr>
                      <m:sty m:val="p"/>
                    </m:rPr>
                    <m:t>−</m:t>
                  </m:r>
                  <m:r>
                    <m:t>123</m:t>
                  </m:r>
                </m:sup>
              </m:sSup>
            </m:oMath>
          </w:p>
        </w:tc>
        <w:tc>
          <w:tcPr/>
          <w:p>
            <w:pPr>
              <w:pStyle w:val="Compact"/>
              <w:jc w:val="center"/>
            </w:pPr>
            <w:r>
              <w:t xml:space="preserve">–</w:t>
            </w:r>
          </w:p>
        </w:tc>
      </w:tr>
      <w:tr>
        <w:tc>
          <w:tcPr/>
          <w:p>
            <w:pPr>
              <w:pStyle w:val="Compact"/>
              <w:jc w:val="left"/>
            </w:pPr>
            <w:r>
              <w:t xml:space="preserve">Fuzzy rule policy</w:t>
            </w:r>
          </w:p>
        </w:tc>
        <w:tc>
          <w:tcPr/>
          <w:p>
            <w:pPr>
              <w:pStyle w:val="Compact"/>
              <w:jc w:val="left"/>
            </w:pPr>
            <w:r>
              <w:t xml:space="preserve">GB</w:t>
            </w:r>
          </w:p>
        </w:tc>
        <w:tc>
          <w:tcPr/>
          <w:p>
            <w:pPr>
              <w:pStyle w:val="Compact"/>
              <w:jc w:val="center"/>
            </w:pPr>
            <w:r>
              <w:t xml:space="preserve">3.004</w:t>
            </w:r>
          </w:p>
        </w:tc>
        <w:tc>
          <w:tcPr/>
          <w:p>
            <w:pPr>
              <w:pStyle w:val="Compact"/>
              <w:jc w:val="center"/>
            </w:pPr>
            <w:r>
              <w:t xml:space="preserve">0.676</w:t>
            </w:r>
          </w:p>
        </w:tc>
        <w:tc>
          <w:tcPr/>
          <w:p>
            <w:pPr>
              <w:pStyle w:val="Compact"/>
              <w:jc w:val="center"/>
            </w:pPr>
            <w:r>
              <w:t xml:space="preserve">222</w:t>
            </w:r>
          </w:p>
        </w:tc>
        <w:tc>
          <w:tcPr/>
          <w:p>
            <w:pPr>
              <w:pStyle w:val="Compact"/>
              <w:jc w:val="center"/>
            </w:pPr>
            <m:oMath>
              <m:r>
                <m:rPr>
                  <m:sty m:val="p"/>
                </m:rPr>
                <m:t>−</m:t>
              </m:r>
              <m:r>
                <m:t>0.064</m:t>
              </m:r>
            </m:oMath>
          </w:p>
        </w:tc>
        <w:tc>
          <w:tcPr/>
          <w:p>
            <w:pPr>
              <w:pStyle w:val="Compact"/>
              <w:jc w:val="center"/>
            </w:pPr>
            <w:r>
              <w:t xml:space="preserve">0.017</w:t>
            </w:r>
          </w:p>
        </w:tc>
        <w:tc>
          <w:tcPr/>
          <w:p>
            <w:pPr>
              <w:pStyle w:val="Compact"/>
              <w:jc w:val="center"/>
            </w:pPr>
            <m:oMath>
              <m:r>
                <m:t>2.967</m:t>
              </m:r>
              <m:r>
                <m:rPr>
                  <m:sty m:val="p"/>
                </m:rPr>
                <m:t>±</m:t>
              </m:r>
              <m:r>
                <m:t>0.100</m:t>
              </m:r>
            </m:oMath>
          </w:p>
        </w:tc>
      </w:tr>
      <w:tr>
        <w:tc>
          <w:tcPr/>
          <w:p>
            <w:pPr>
              <w:pStyle w:val="Compact"/>
              <w:jc w:val="left"/>
            </w:pPr>
            <w:r>
              <w:t xml:space="preserve">Threshold 0.5</w:t>
            </w:r>
          </w:p>
        </w:tc>
        <w:tc>
          <w:tcPr/>
          <w:p>
            <w:pPr>
              <w:pStyle w:val="Compact"/>
              <w:jc w:val="left"/>
            </w:pPr>
            <w:r>
              <w:t xml:space="preserve">GB</w:t>
            </w:r>
          </w:p>
        </w:tc>
        <w:tc>
          <w:tcPr/>
          <w:p>
            <w:pPr>
              <w:pStyle w:val="Compact"/>
              <w:jc w:val="center"/>
            </w:pPr>
            <w:r>
              <w:t xml:space="preserve">3.189</w:t>
            </w:r>
          </w:p>
        </w:tc>
        <w:tc>
          <w:tcPr/>
          <w:p>
            <w:pPr>
              <w:pStyle w:val="Compact"/>
              <w:jc w:val="center"/>
            </w:pPr>
            <w:r>
              <w:t xml:space="preserve">0.644</w:t>
            </w:r>
          </w:p>
        </w:tc>
        <w:tc>
          <w:tcPr/>
          <w:p>
            <w:pPr>
              <w:pStyle w:val="Compact"/>
              <w:jc w:val="center"/>
            </w:pPr>
            <w:r>
              <w:t xml:space="preserve">241</w:t>
            </w:r>
          </w:p>
        </w:tc>
        <w:tc>
          <w:tcPr/>
          <w:p>
            <w:pPr>
              <w:pStyle w:val="Compact"/>
              <w:jc w:val="center"/>
            </w:pPr>
            <m:oMath>
              <m:r>
                <m:rPr>
                  <m:sty m:val="p"/>
                </m:rPr>
                <m:t>+</m:t>
              </m:r>
              <m:r>
                <m:t>0.122</m:t>
              </m:r>
            </m:oMath>
          </w:p>
        </w:tc>
        <w:tc>
          <w:tcPr/>
          <w:p>
            <w:pPr>
              <w:pStyle w:val="Compact"/>
              <w:jc w:val="center"/>
            </w:pPr>
            <m:oMath>
              <m:r>
                <m:t>6.4</m:t>
              </m:r>
              <m:r>
                <m:rPr>
                  <m:sty m:val="p"/>
                </m:rPr>
                <m:t>×</m:t>
              </m:r>
              <m:sSup>
                <m:e>
                  <m:r>
                    <m:t>10</m:t>
                  </m:r>
                </m:e>
                <m:sup>
                  <m:r>
                    <m:rPr>
                      <m:sty m:val="p"/>
                    </m:rPr>
                    <m:t>−</m:t>
                  </m:r>
                  <m:r>
                    <m:t>40</m:t>
                  </m:r>
                </m:sup>
              </m:sSup>
            </m:oMath>
          </w:p>
        </w:tc>
        <w:tc>
          <w:tcPr/>
          <w:p>
            <w:pPr>
              <w:pStyle w:val="Compact"/>
              <w:jc w:val="center"/>
            </w:pPr>
            <w:r>
              <w:t xml:space="preserve">–</w:t>
            </w:r>
          </w:p>
        </w:tc>
      </w:tr>
      <w:tr>
        <w:tc>
          <w:tcPr/>
          <w:p>
            <w:pPr>
              <w:pStyle w:val="Compact"/>
              <w:jc w:val="left"/>
            </w:pPr>
            <w:r>
              <w:t xml:space="preserve">Bayes cost rule (reference)</w:t>
            </w:r>
          </w:p>
        </w:tc>
        <w:tc>
          <w:tcPr/>
          <w:p>
            <w:pPr>
              <w:pStyle w:val="Compact"/>
              <w:jc w:val="left"/>
            </w:pPr>
            <w:r>
              <w:t xml:space="preserve">MLP</w:t>
            </w:r>
          </w:p>
        </w:tc>
        <w:tc>
          <w:tcPr/>
          <w:p>
            <w:pPr>
              <w:pStyle w:val="Compact"/>
              <w:jc w:val="center"/>
            </w:pPr>
            <w:r>
              <w:t xml:space="preserve">2.164</w:t>
            </w:r>
          </w:p>
        </w:tc>
        <w:tc>
          <w:tcPr/>
          <w:p>
            <w:pPr>
              <w:pStyle w:val="Compact"/>
              <w:jc w:val="center"/>
            </w:pPr>
            <w:r>
              <w:t xml:space="preserve">0.701</w:t>
            </w:r>
          </w:p>
        </w:tc>
        <w:tc>
          <w:tcPr/>
          <w:p>
            <w:pPr>
              <w:pStyle w:val="Compact"/>
              <w:jc w:val="center"/>
            </w:pPr>
            <w:r>
              <w:t xml:space="preserve">0</w:t>
            </w:r>
          </w:p>
        </w:tc>
        <w:tc>
          <w:tcPr/>
          <w:p>
            <w:pPr>
              <w:pStyle w:val="Compact"/>
              <w:jc w:val="center"/>
            </w:pPr>
            <m:oMath>
              <m:r>
                <m:rPr>
                  <m:sty m:val="p"/>
                </m:rPr>
                <m:t>−</m:t>
              </m:r>
              <m:r>
                <m:t>0.903</m:t>
              </m:r>
            </m:oMath>
          </w:p>
        </w:tc>
        <w:tc>
          <w:tcPr/>
          <w:p>
            <w:pPr>
              <w:pStyle w:val="Compact"/>
              <w:jc w:val="center"/>
            </w:pPr>
            <m:oMath>
              <m:r>
                <m:rPr>
                  <m:sty m:val="p"/>
                </m:rPr>
                <m:t>&lt;</m:t>
              </m:r>
              <m:sSup>
                <m:e>
                  <m:r>
                    <m:t>10</m:t>
                  </m:r>
                </m:e>
                <m:sup>
                  <m:r>
                    <m:rPr>
                      <m:sty m:val="p"/>
                    </m:rPr>
                    <m:t>−</m:t>
                  </m:r>
                  <m:r>
                    <m:t>300</m:t>
                  </m:r>
                </m:sup>
              </m:sSup>
            </m:oMath>
          </w:p>
        </w:tc>
        <w:tc>
          <w:tcPr/>
          <w:p>
            <w:pPr>
              <w:pStyle w:val="Compact"/>
              <w:jc w:val="center"/>
            </w:pPr>
            <m:oMath>
              <m:r>
                <m:t>2.207</m:t>
              </m:r>
              <m:r>
                <m:rPr>
                  <m:sty m:val="p"/>
                </m:rPr>
                <m:t>±</m:t>
              </m:r>
              <m:r>
                <m:t>0.100</m:t>
              </m:r>
            </m:oMath>
          </w:p>
        </w:tc>
      </w:tr>
    </w:tbl>
    <w:p>
      <w:pPr>
        <w:pStyle w:val="BodyText"/>
      </w:pPr>
      <w:r>
        <w:rPr>
          <w:i/>
          <w:iCs/>
        </w:rPr>
        <w:t xml:space="preserve">Note.</w:t>
      </w:r>
      <w:r>
        <w:t xml:space="preserve"> </w:t>
      </w:r>
      <w:r>
        <w:t xml:space="preserve">PR-AUC: area under the precision–recall curve;</w:t>
      </w:r>
      <w:r>
        <w:t xml:space="preserve"> </w:t>
      </w:r>
      <m:oMath>
        <m:acc>
          <m:accPr>
            <m:chr m:val="‾"/>
          </m:accPr>
          <m:e>
            <m:r>
              <m:t>C</m:t>
            </m:r>
          </m:e>
        </m:acc>
      </m:oMath>
      <w:r>
        <w:t xml:space="preserve">: mean triage cost, Eq. (6); UE: unnecessary escalations. Actions (Monitor/Soft-block/Escalate): threshold 0.5, 11,943/0/8,057; top-20%, 16,000/0/4,000; proposed and crisp bands, 11,554/776/7,670; Bayes rule, 11,369/8,631/0. Panel B2 CIs:</w:t>
      </w:r>
      <w:r>
        <w:t xml:space="preserve"> </w:t>
      </w:r>
      <w:r>
        <w:rPr>
          <w:rStyle w:val="VerbatimChar"/>
        </w:rPr>
        <w:t xml:space="preserve">results/table2_decision.csv</w:t>
      </w:r>
      <w:r>
        <w:t xml:space="preserve">.</w:t>
      </w:r>
    </w:p>
    <w:p>
      <w:pPr>
        <w:pStyle w:val="BodyText"/>
      </w:pPr>
      <w:r>
        <w:rPr>
          <w:i/>
          <w:iCs/>
        </w:rPr>
        <w:t xml:space="preserve">Prediction versus decision.</w:t>
      </w:r>
      <w:r>
        <w:t xml:space="preserve"> </w:t>
      </w:r>
      <w:r>
        <w:t xml:space="preserve">Gradient boosting is the best detector on every metric (Table 2, Panel A) and beats the MLP in ROC-AUC in all ten seeds; we therefore make no detection claim. On identical MLP scores, the rule base lowers the mean triage cost by 0.196 per alert relative to the 0.5 threshold and by 1.242 relative to top-20% escalation, and raises coverage by 0.031 (95% CI [0.028, 0.034]) over the threshold (Panel B1). Rule base and threshold differ only on the 776 Medium-band alerts, which the rule base contains; this saves about 3,900 cost units per 20,000 alerts and sends 387 fewer alerts to analysts. Top-20% escalation minimises unnecessary escalations (47) but covers only 0.348 of attacks, and validation tuning (</w:t>
      </w:r>
      <m:oMath>
        <m:r>
          <m:t>t</m:t>
        </m:r>
        <m:r>
          <m:rPr>
            <m:sty m:val="p"/>
          </m:rPr>
          <m:t>=</m:t>
        </m:r>
        <m:r>
          <m:t>0.53</m:t>
        </m:r>
      </m:oMath>
      <w:r>
        <w:t xml:space="preserve">; 3.278) does not close the gap because unseen attack types shift the test scores.</w:t>
      </w:r>
    </w:p>
    <w:p>
      <w:pPr>
        <w:pStyle w:val="CaptionedFigure"/>
      </w:pPr>
      <w:r>
        <w:drawing>
          <wp:inline>
            <wp:extent cx="4263122" cy="2305878"/>
            <wp:effectExtent b="0" l="0" r="0" t="0"/>
            <wp:docPr descr="Fig. 2. Mean triage cost versus missed-attack cost C_{FN} (seed 42). The fuzzy rule policy is cheaper than the 0.5 threshold at every tested C_{FN} from 2 to 30, with a gap that widens as missed attacks grow costlier; top-20% escalation wins only for C_{FN}\le3 (shaded). Error bars: paired bootstrap 95% CIs at the default C_{FN}=10 (dotted); dashed: Bayes reference." title="" id="21" name="Picture"/>
            <a:graphic>
              <a:graphicData uri="http://schemas.openxmlformats.org/drawingml/2006/picture">
                <pic:pic>
                  <pic:nvPicPr>
                    <pic:cNvPr descr="figures/fig2_cost_sensitivity.png" id="22" name="Picture"/>
                    <pic:cNvPicPr>
                      <a:picLocks noChangeArrowheads="1" noChangeAspect="1"/>
                    </pic:cNvPicPr>
                  </pic:nvPicPr>
                  <pic:blipFill>
                    <a:blip r:embed="rId20"/>
                    <a:stretch>
                      <a:fillRect/>
                    </a:stretch>
                  </pic:blipFill>
                  <pic:spPr bwMode="auto">
                    <a:xfrm>
                      <a:off x="0" y="0"/>
                      <a:ext cx="4263122" cy="2305878"/>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Mean triage cost versus missed-attack cost</w:t>
      </w:r>
      <w:r>
        <w:t xml:space="preserve"> </w:t>
      </w:r>
      <m:oMath>
        <m:sSub>
          <m:e>
            <m:r>
              <m:t>C</m:t>
            </m:r>
          </m:e>
          <m:sub>
            <m:r>
              <m:t>F</m:t>
            </m:r>
            <m:r>
              <m:t>N</m:t>
            </m:r>
          </m:sub>
        </m:sSub>
      </m:oMath>
      <w:r>
        <w:t xml:space="preserve"> </w:t>
      </w:r>
      <w:r>
        <w:t xml:space="preserve">(seed 42). The fuzzy rule policy is cheaper than the 0.5 threshold at every tested</w:t>
      </w:r>
      <w:r>
        <w:t xml:space="preserve"> </w:t>
      </w:r>
      <m:oMath>
        <m:sSub>
          <m:e>
            <m:r>
              <m:t>C</m:t>
            </m:r>
          </m:e>
          <m:sub>
            <m:r>
              <m:t>F</m:t>
            </m:r>
            <m:r>
              <m:t>N</m:t>
            </m:r>
          </m:sub>
        </m:sSub>
      </m:oMath>
      <w:r>
        <w:t xml:space="preserve"> </w:t>
      </w:r>
      <w:r>
        <w:t xml:space="preserve">from 2 to 30, with a gap that widens as missed attacks grow costlier; top-20% escalation wins only for</w:t>
      </w:r>
      <w:r>
        <w:t xml:space="preserve"> </w:t>
      </w:r>
      <m:oMath>
        <m:sSub>
          <m:e>
            <m:r>
              <m:t>C</m:t>
            </m:r>
          </m:e>
          <m:sub>
            <m:r>
              <m:t>F</m:t>
            </m:r>
            <m:r>
              <m:t>N</m:t>
            </m:r>
          </m:sub>
        </m:sSub>
        <m:r>
          <m:rPr>
            <m:sty m:val="p"/>
          </m:rPr>
          <m:t>≤</m:t>
        </m:r>
        <m:r>
          <m:t>3</m:t>
        </m:r>
      </m:oMath>
      <w:r>
        <w:t xml:space="preserve"> </w:t>
      </w:r>
      <w:r>
        <w:t xml:space="preserve">(shaded). Error bars: paired bootstrap 95% CIs at the default</w:t>
      </w:r>
      <w:r>
        <w:t xml:space="preserve"> </w:t>
      </w:r>
      <m:oMath>
        <m:sSub>
          <m:e>
            <m:r>
              <m:t>C</m:t>
            </m:r>
          </m:e>
          <m:sub>
            <m:r>
              <m:t>F</m:t>
            </m:r>
            <m:r>
              <m:t>N</m:t>
            </m:r>
          </m:sub>
        </m:sSub>
        <m:r>
          <m:rPr>
            <m:sty m:val="p"/>
          </m:rPr>
          <m:t>=</m:t>
        </m:r>
        <m:r>
          <m:t>10</m:t>
        </m:r>
      </m:oMath>
      <w:r>
        <w:t xml:space="preserve"> </w:t>
      </w:r>
      <w:r>
        <w:t xml:space="preserve">(dotted); dashed: Bayes reference.</w:t>
      </w:r>
    </w:p>
    <w:p>
      <w:pPr>
        <w:pStyle w:val="BodyText"/>
      </w:pPr>
      <w:r>
        <w:rPr>
          <w:i/>
          <w:iCs/>
        </w:rPr>
        <w:t xml:space="preserve">Robustness.</w:t>
      </w:r>
      <w:r>
        <w:t xml:space="preserve"> </w:t>
      </w:r>
      <w:r>
        <w:t xml:space="preserve">The rule base is cheaper than both crisp rules in all ten seeds (</w:t>
      </w:r>
      <m:oMath>
        <m:r>
          <m:t>3.088</m:t>
        </m:r>
        <m:r>
          <m:rPr>
            <m:sty m:val="p"/>
          </m:rPr>
          <m:t>±</m:t>
        </m:r>
        <m:r>
          <m:t>0.081</m:t>
        </m:r>
      </m:oMath>
      <w:r>
        <w:t xml:space="preserve"> </w:t>
      </w:r>
      <w:r>
        <w:t xml:space="preserve">versus</w:t>
      </w:r>
      <w:r>
        <w:t xml:space="preserve"> </w:t>
      </w:r>
      <m:oMath>
        <m:r>
          <m:t>3.246</m:t>
        </m:r>
        <m:r>
          <m:rPr>
            <m:sty m:val="p"/>
          </m:rPr>
          <m:t>±</m:t>
        </m:r>
        <m:r>
          <m:t>0.076</m:t>
        </m:r>
      </m:oMath>
      <w:r>
        <w:t xml:space="preserve"> </w:t>
      </w:r>
      <w:r>
        <w:t xml:space="preserve">and</w:t>
      </w:r>
      <w:r>
        <w:t xml:space="preserve"> </w:t>
      </w:r>
      <m:oMath>
        <m:r>
          <m:t>4.318</m:t>
        </m:r>
        <m:r>
          <m:rPr>
            <m:sty m:val="p"/>
          </m:rPr>
          <m:t>±</m:t>
        </m:r>
        <m:r>
          <m:t>0.009</m:t>
        </m:r>
      </m:oMath>
      <w:r>
        <w:t xml:space="preserve">; Wilcoxon</w:t>
      </w:r>
      <w:r>
        <w:t xml:space="preserve"> </w:t>
      </w:r>
      <m:oMath>
        <m:r>
          <m:t>p</m:t>
        </m:r>
        <m:r>
          <m:rPr>
            <m:sty m:val="p"/>
          </m:rPr>
          <m:t>=</m:t>
        </m:r>
        <m:r>
          <m:t>0.002</m:t>
        </m:r>
      </m:oMath>
      <w:r>
        <w:t xml:space="preserve"> </w:t>
      </w:r>
      <w:r>
        <w:t xml:space="preserve">for both) and has higher coverage than the 0.5 threshold in every seed. Its advantage over the threshold grows from 0.055 at</w:t>
      </w:r>
      <w:r>
        <w:t xml:space="preserve"> </w:t>
      </w:r>
      <m:oMath>
        <m:sSub>
          <m:e>
            <m:r>
              <m:t>C</m:t>
            </m:r>
          </m:e>
          <m:sub>
            <m:r>
              <m:t>F</m:t>
            </m:r>
            <m:r>
              <m:t>N</m:t>
            </m:r>
          </m:sub>
        </m:sSub>
        <m:r>
          <m:rPr>
            <m:sty m:val="p"/>
          </m:rPr>
          <m:t>=</m:t>
        </m:r>
        <m:r>
          <m:t>2</m:t>
        </m:r>
      </m:oMath>
      <w:r>
        <w:t xml:space="preserve"> </w:t>
      </w:r>
      <w:r>
        <w:t xml:space="preserve">to 0.549 at</w:t>
      </w:r>
      <w:r>
        <w:t xml:space="preserve"> </w:t>
      </w:r>
      <m:oMath>
        <m:sSub>
          <m:e>
            <m:r>
              <m:t>C</m:t>
            </m:r>
          </m:e>
          <m:sub>
            <m:r>
              <m:t>F</m:t>
            </m:r>
            <m:r>
              <m:t>N</m:t>
            </m:r>
          </m:sub>
        </m:sSub>
        <m:r>
          <m:rPr>
            <m:sty m:val="p"/>
          </m:rPr>
          <m:t>=</m:t>
        </m:r>
        <m:r>
          <m:t>30</m:t>
        </m:r>
      </m:oMath>
      <w:r>
        <w:t xml:space="preserve"> </w:t>
      </w:r>
      <w:r>
        <w:t xml:space="preserve">(Fig. 2); top-20% escalation is cheaper only for</w:t>
      </w:r>
      <w:r>
        <w:t xml:space="preserve"> </w:t>
      </w:r>
      <m:oMath>
        <m:sSub>
          <m:e>
            <m:r>
              <m:t>C</m:t>
            </m:r>
          </m:e>
          <m:sub>
            <m:r>
              <m:t>F</m:t>
            </m:r>
            <m:r>
              <m:t>N</m:t>
            </m:r>
          </m:sub>
        </m:sSub>
        <m:r>
          <m:rPr>
            <m:sty m:val="p"/>
          </m:rPr>
          <m:t>≤</m:t>
        </m:r>
        <m:r>
          <m:t>3</m:t>
        </m:r>
      </m:oMath>
      <w:r>
        <w:t xml:space="preserve"> </w:t>
      </w:r>
      <w:r>
        <w:t xml:space="preserve">(1.347 versus 1.640 at</w:t>
      </w:r>
      <w:r>
        <w:t xml:space="preserve"> </w:t>
      </w:r>
      <m:oMath>
        <m:sSub>
          <m:e>
            <m:r>
              <m:t>C</m:t>
            </m:r>
          </m:e>
          <m:sub>
            <m:r>
              <m:t>F</m:t>
            </m:r>
            <m:r>
              <m:t>N</m:t>
            </m:r>
          </m:sub>
        </m:sSub>
        <m:r>
          <m:rPr>
            <m:sty m:val="p"/>
          </m:rPr>
          <m:t>=</m:t>
        </m:r>
        <m:r>
          <m:t>2</m:t>
        </m:r>
      </m:oMath>
      <w:r>
        <w:t xml:space="preserve">). Widening the Medium half-width from 0.25 to 0.45 enlarges the Soft-block band from 646 to 900 alerts and lowers the cost monotonically from 3.101 to 3.034; every width beats both crisp rules.</w:t>
      </w:r>
    </w:p>
    <w:p>
      <w:pPr>
        <w:pStyle w:val="BodyText"/>
      </w:pPr>
      <w:r>
        <w:rPr>
          <w:i/>
          <w:iCs/>
        </w:rPr>
        <w:t xml:space="preserve">What drives the gain.</w:t>
      </w:r>
      <w:r>
        <w:t xml:space="preserve"> </w:t>
      </w:r>
      <w:r>
        <w:t xml:space="preserve">Crisp bands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w:t>
      </w:r>
      <w:r>
        <w:t xml:space="preserve">reproduce every action (Panel B2), so the benefit comes from the containment band, not from fuzziness itself; the memberships add a graded explanation per decision. The rule base is not cost-optimal: the Bayes cost rule is 0.903 cheaper per alert because soft-blocking dominates escalation under Eq. (6), so it contains 8,631 alerts (43% of traffic). An oracle test-set threshold of at most 0.10 would also win (minimum 2.929 at</w:t>
      </w:r>
      <w:r>
        <w:t xml:space="preserve"> </w:t>
      </w:r>
      <m:oMath>
        <m:r>
          <m:t>t</m:t>
        </m:r>
        <m:r>
          <m:rPr>
            <m:sty m:val="p"/>
          </m:rPr>
          <m:t>=</m:t>
        </m:r>
        <m:r>
          <m:t>0.01</m:t>
        </m:r>
      </m:oMath>
      <w:r>
        <w:t xml:space="preserve">), but validation tuning cannot find it under shift. On GB scores, the same rules cost 3.004 (</w:t>
      </w:r>
      <m:oMath>
        <m:r>
          <m:t>p</m:t>
        </m:r>
        <m:r>
          <m:rPr>
            <m:sty m:val="p"/>
          </m:rPr>
          <m:t>=</m:t>
        </m:r>
        <m:r>
          <m:t>0.017</m:t>
        </m:r>
      </m:oMath>
      <w:r>
        <w:t xml:space="preserve"> </w:t>
      </w:r>
      <w:r>
        <w:t xml:space="preserve">versus MLP scores) and cut unnecessary escalations from 603 to 222, so the layer transfers.</w:t>
      </w:r>
    </w:p>
    <w:p>
      <w:pPr>
        <w:pStyle w:val="BodyText"/>
      </w:pPr>
      <w:r>
        <w:rPr>
          <w:i/>
          <w:iCs/>
        </w:rPr>
        <w:t xml:space="preserve">Implications for SOC decision-makers.</w:t>
      </w:r>
      <w:r>
        <w:t xml:space="preserve"> </w:t>
      </w:r>
      <w:r>
        <w:t xml:space="preserve">First, detectors should be judged by the decisions they enable: on identical scores, the action rule changed the cost by up to 1.242 per alert. Second, the cost matrix sets the action mix, so organisations must price false containment before automating Soft-block. Third, band boundaries are a reviewable workload lever that needs no retraining. Fourth, named rules with logged firing strengths give each action an audit trail that post hoc attributions [22,23] lack, aiding compliance and human–AI teaming [3].</w:t>
      </w:r>
    </w:p>
    <w:bookmarkEnd w:id="23"/>
    <w:bookmarkStart w:id="24" w:name="limitations"/>
    <w:p>
      <w:pPr>
        <w:pStyle w:val="Heading1"/>
      </w:pPr>
      <w:r>
        <w:t xml:space="preserve">Limitations</w:t>
      </w:r>
    </w:p>
    <w:p>
      <w:pPr>
        <w:pStyle w:val="FirstParagraph"/>
      </w:pPr>
      <w:r>
        <w:t xml:space="preserve">Fixed bands are sensitive to the score distribution, not only to the ranking: seed 48, the weakest replicate (cost 3.282, coverage 0.626), has a typical ROC-AUC (0.900) but the lowest accuracy at 0.5 (0.757). Adaptive, ANFIS-style tuning [11] or cost-derived bands could close the Bayes gap. NSL-KDD (2009) is a dated laboratory benchmark that misses modern enterprise, cloud and Internet of Things traffic [31,32], and the data were subsampled under one protocol. The cost matrix is illustrative, not elicited from a SOC; coverage counts containment as covering an attack; and there was no deployment, drift analysis or user study.</w:t>
      </w:r>
    </w:p>
    <w:bookmarkEnd w:id="24"/>
    <w:bookmarkStart w:id="25" w:name="conclusion"/>
    <w:p>
      <w:pPr>
        <w:pStyle w:val="Heading1"/>
      </w:pPr>
      <w:r>
        <w:t xml:space="preserve">Conclusion</w:t>
      </w:r>
    </w:p>
    <w:p>
      <w:pPr>
        <w:pStyle w:val="FirstParagraph"/>
      </w:pPr>
      <w:r>
        <w:t xml:space="preserve">As a knowledge-based decision layer, the fuzzy–neural rule base outperformed crisp threshold and capacity rules on NSL-KDD in cost and coverage across seeds, cost ratios and band widths. The gain comes from the containment band, and a Bayes rule derived from the cost matrix is cheaper still. Future work will derive bands from elicited SOC costs and validate them live.</w:t>
      </w:r>
    </w:p>
    <w:bookmarkEnd w:id="25"/>
    <w:bookmarkStart w:id="26" w:name="data-availability"/>
    <w:p>
      <w:pPr>
        <w:pStyle w:val="Heading1"/>
      </w:pPr>
      <w:r>
        <w:t xml:space="preserve">Data availability</w:t>
      </w:r>
    </w:p>
    <w:p>
      <w:pPr>
        <w:pStyle w:val="FirstParagraph"/>
      </w:pPr>
      <w:r>
        <w:t xml:space="preserve">The code, result tables and figure-generation scripts are publicly available at</w:t>
      </w:r>
      <w:r>
        <w:t xml:space="preserve"> </w:t>
      </w:r>
      <w:hyperlink r:id="rId9">
        <w:r>
          <w:rPr>
            <w:rStyle w:val="Hyperlink"/>
          </w:rPr>
          <w:t xml:space="preserve">https://github.com/nithin427/fuzzy-neural-cyber-triage</w:t>
        </w:r>
      </w:hyperlink>
      <w:r>
        <w:t xml:space="preserve">. NSL-KDD is available from the Canadian Institute for Cybersecurity [27].</w:t>
      </w:r>
    </w:p>
    <w:bookmarkEnd w:id="26"/>
    <w:bookmarkStart w:id="27"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Grok Bot, an AI-assisted writing and coding tool, to help with language editing, code refactoring, reference checking and formatting. After using this tool, the author reviewed and edited the content as needed and takes full responsibility for the content of the published article. All results, tables and figures were generated by the author’s executable code from the public dataset; no figure was created with generative AI.</w:t>
      </w:r>
    </w:p>
    <w:bookmarkEnd w:id="28"/>
    <w:bookmarkStart w:id="29"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29"/>
    <w:bookmarkStart w:id="30" w:name="credit-authorship-contribution-statement"/>
    <w:p>
      <w:pPr>
        <w:pStyle w:val="Heading1"/>
      </w:pPr>
      <w:r>
        <w:t xml:space="preserve">CRediT authorship contribution statement</w:t>
      </w:r>
    </w:p>
    <w:p>
      <w:pPr>
        <w:pStyle w:val="FirstParagraph"/>
      </w:pPr>
      <w:r>
        <w:rPr>
          <w:b/>
          <w:bCs/>
        </w:rPr>
        <w:t xml:space="preserve">Sai Nithin Erigineni:</w:t>
      </w:r>
      <w:r>
        <w:t xml:space="preserve"> </w:t>
      </w:r>
      <w:r>
        <w:t xml:space="preserve">Conceptualization, Methodology, Software, Validation, Formal analysis, Investigation, Data curation, Visualization, Writing – original draft, Writing – review &amp; editing.</w:t>
      </w:r>
    </w:p>
    <w:bookmarkEnd w:id="30"/>
    <w:bookmarkStart w:id="31" w:name="references"/>
    <w:p>
      <w:pPr>
        <w:pStyle w:val="Heading1"/>
      </w:pPr>
      <w:r>
        <w:t xml:space="preserve">References</w:t>
      </w:r>
    </w:p>
    <w:p>
      <w:pPr>
        <w:pStyle w:val="FirstParagraph"/>
      </w:pPr>
      <w:r>
        <w:t xml:space="preserve">[1] M. Vielberth, F. Böhm, I. Fichtinger, G. Pernul, Security operations center: A systematic study and open challenges, IEEE Access 8 (2020) 227756–227779. https://doi.org/10.1109/ACCESS.2020.3045514.</w:t>
      </w:r>
    </w:p>
    <w:p>
      <w:pPr>
        <w:pStyle w:val="BodyText"/>
      </w:pPr>
      <w:r>
        <w:t xml:space="preserve">[2] S. Tariq, M. Baruwal Chhetri, S. Nepal, C. Paris, Alert fatigue in security operations centres: Research challenges and opportunities, ACM Comput. Surv. 57 (9) (2025) 1–38. https://doi.org/10.1145/3723158.</w:t>
      </w:r>
    </w:p>
    <w:p>
      <w:pPr>
        <w:pStyle w:val="BodyText"/>
      </w:pPr>
      <w:r>
        <w:t xml:space="preserve">[3] M. Baruwal Chhetri, S. Tariq, R. Singh, F. Jalalvand, C. Paris, S. Nepal, Towards human–AI teaming to mitigate alert fatigue in security operations centres, ACM Trans. Internet Technol. 24 (3) (2024) 1–22. https://doi.org/10.1145/3670009.</w:t>
      </w:r>
    </w:p>
    <w:p>
      <w:pPr>
        <w:pStyle w:val="BodyText"/>
      </w:pPr>
      <w:r>
        <w:t xml:space="preserve">[4] H.-J. Liao, C.-H. Richard Lin, Y.-C. Lin, K.-Y. Tung, Intrusion detection system: A comprehensive review, J. Netw. Comput. Appl. 36 (1) (2013) 16–24. https://doi.org/10.1016/j.jnca.2012.09.004.</w:t>
      </w:r>
    </w:p>
    <w:p>
      <w:pPr>
        <w:pStyle w:val="BodyText"/>
      </w:pPr>
      <w:r>
        <w:t xml:space="preserve">[5] A. L. Buczak, E. Guven, A survey of data mining and machine learning methods for cyber security intrusion detection, IEEE Commun. Surv. Tutor. 18 (2) (2016) 1153–1176. https://doi.org/10.1109/COMST.2015.2494502.</w:t>
      </w:r>
    </w:p>
    <w:p>
      <w:pPr>
        <w:pStyle w:val="BodyText"/>
      </w:pPr>
      <w:r>
        <w:t xml:space="preserve">[6] R. Vinayakumar, M. Alazab, K. P. Soman, P. Poornachandran, A. Al-Nemrat, S. Venkatraman, Deep learning approach for intelligent intrusion detection system, IEEE Access 7 (2019) 41525–41550. https://doi.org/10.1109/ACCESS.2019.2895334.</w:t>
      </w:r>
    </w:p>
    <w:p>
      <w:pPr>
        <w:pStyle w:val="BodyText"/>
      </w:pPr>
      <w:r>
        <w:t xml:space="preserve">[7] T. Su, H. Sun, J. Zhu, S. Wang, Y. Li, BAT: Deep learning methods on network intrusion detection using NSL-KDD dataset, IEEE Access 8 (2020) 29575–29585. https://doi.org/10.1109/ACCESS.2020.2972627.</w:t>
      </w:r>
    </w:p>
    <w:p>
      <w:pPr>
        <w:pStyle w:val="BodyText"/>
      </w:pPr>
      <w:r>
        <w:t xml:space="preserve">[8] G. Vial, Understanding digital transformation: A review and a research agenda, J. Strateg. Inf. Syst. 28 (2) (2019) 118–144. https://doi.org/10.1016/j.jsis.2019.01.003.</w:t>
      </w:r>
    </w:p>
    <w:p>
      <w:pPr>
        <w:pStyle w:val="BodyText"/>
      </w:pPr>
      <w:r>
        <w:t xml:space="preserve">[9] Y. Duan, J. S. Edwards, Y. K. Dwivedi, Artificial intelligence for decision making in the era of Big Data – evolution, challenges and research agenda, Int. J. Inf. Manag. 48 (2019) 63–71. https://doi.org/10.1016/j.ijinfomgt.2019.01.021.</w:t>
      </w:r>
    </w:p>
    <w:p>
      <w:pPr>
        <w:pStyle w:val="BodyText"/>
      </w:pPr>
      <w:r>
        <w:t xml:space="preserve">[10] L. A. Zadeh, Fuzzy sets, Inf. Control 8 (3) (1965) 338–353. https://doi.org/10.1016/S0019-9958(65)90241-X.</w:t>
      </w:r>
    </w:p>
    <w:p>
      <w:pPr>
        <w:pStyle w:val="BodyText"/>
      </w:pPr>
      <w:r>
        <w:t xml:space="preserve">[11] J.-S. R. Jang, ANFIS: Adaptive-network-based fuzzy inference system, IEEE Trans. Syst. Man Cybern. 23 (3) (1993) 665–685. https://doi.org/10.1109/21.256541.</w:t>
      </w:r>
    </w:p>
    <w:p>
      <w:pPr>
        <w:pStyle w:val="BodyText"/>
      </w:pPr>
      <w:r>
        <w:t xml:space="preserve">[12] P. V. de Campos Souza, Fuzzy neural networks and neuro-fuzzy networks: A review the main techniques and applications used in the literature, Appl. Soft Comput. 92 (2020) 106275. https://doi.org/10.1016/j.asoc.2020.106275.</w:t>
      </w:r>
    </w:p>
    <w:p>
      <w:pPr>
        <w:pStyle w:val="BodyText"/>
      </w:pPr>
      <w:r>
        <w:t xml:space="preserve">[13] A. Fernández, F. Herrera, O. Cordón, M. J. del Jesus, F. Marcelloni, Evolutionary fuzzy systems for explainable artificial intelligence: Why, when, what for, and where to?, IEEE Comput. Intell. Mag. 14 (1) (2019) 69–81. https://doi.org/10.1109/MCI.2018.2881645.</w:t>
      </w:r>
    </w:p>
    <w:p>
      <w:pPr>
        <w:pStyle w:val="BodyText"/>
      </w:pPr>
      <w:r>
        <w:t xml:space="preserve">[14] A. N. Toosi, M. Kahani, A new approach to intrusion detection based on an evolutionary soft computing model using neuro-fuzzy classifiers, Comput. Commun. 30 (10) (2007) 2201–2212. https://doi.org/10.1016/j.comcom.2007.05.002.</w:t>
      </w:r>
    </w:p>
    <w:p>
      <w:pPr>
        <w:pStyle w:val="BodyText"/>
      </w:pPr>
      <w:r>
        <w:t xml:space="preserve">[15] A. H. Hamamoto, L. F. Carvalho, L. D. H. Sampaio, T. Abrão, M. L. Proença, Network anomaly detection system using genetic algorithm and fuzzy logic, Expert Syst. Appl. 92 (2018) 390–402. https://doi.org/10.1016/j.eswa.2017.09.013.</w:t>
      </w:r>
    </w:p>
    <w:p>
      <w:pPr>
        <w:pStyle w:val="BodyText"/>
      </w:pPr>
      <w:r>
        <w:t xml:space="preserve">[16] M. Alalhareth, S.-C. Hong, An adaptive intrusion detection system in the Internet of Medical Things using fuzzy-based learning, Sensors 23 (22) (2023) 9247. https://doi.org/10.3390/s23229247.</w:t>
      </w:r>
    </w:p>
    <w:p>
      <w:pPr>
        <w:pStyle w:val="BodyText"/>
      </w:pPr>
      <w:r>
        <w:t xml:space="preserve">[17] C. Elkan, The foundations of cost-sensitive learning, in: Proc. 17th Int. Jt. Conf. Artif. Intell. (IJCAI), 2001, pp. 973–978.</w:t>
      </w:r>
    </w:p>
    <w:p>
      <w:pPr>
        <w:pStyle w:val="BodyText"/>
      </w:pPr>
      <w:r>
        <w:t xml:space="preserve">[18] Z.-H. Zhou, X.-Y. Liu, Training cost-sensitive neural networks with methods addressing the class imbalance problem, IEEE Trans. Knowl. Data Eng. 18 (1) (2006) 63–77. https://doi.org/10.1109/TKDE.2006.17.</w:t>
      </w:r>
    </w:p>
    <w:p>
      <w:pPr>
        <w:pStyle w:val="BodyText"/>
      </w:pPr>
      <w:r>
        <w:t xml:space="preserve">[19] N. Gupta, V. Jindal, P. Bedi, CSE-IDS: Using cost-sensitive deep learning and ensemble algorithms to handle class imbalance in network-based intrusion detection systems, Comput. Secur. 112 (2022) 102499. https://doi.org/10.1016/j.cose.2021.102499.</w:t>
      </w:r>
    </w:p>
    <w:p>
      <w:pPr>
        <w:pStyle w:val="BodyText"/>
      </w:pPr>
      <w:r>
        <w:t xml:space="preserve">[20] A. Telikani, N. E. Rudbardeh, S. Soleymanpour, A. Shahbahrami, J. Shen, G. Gaydadjiev, R. Hassanpour, A cost-sensitive machine learning model with multitask learning for intrusion detection in IoT, IEEE Trans. Ind. Inform. 20 (3) (2024) 3880–3890. https://doi.org/10.1109/TII.2023.3314208.</w:t>
      </w:r>
    </w:p>
    <w:p>
      <w:pPr>
        <w:pStyle w:val="BodyText"/>
      </w:pPr>
      <w:r>
        <w:t xml:space="preserve">[21] A. Barredo Arrieta, N. Díaz-Rodríguez, J. Del Ser, A. Bennetot, S. Tabik, A. Barbado, S. Garcia, S. Gil-Lopez, D. Molina, R. Benjamins, R. Chatila, F. Herrera, Explainable artificial intelligence (XAI): Concepts, taxonomies, opportunities and challenges toward responsible AI, Inf. Fusion 58 (2020) 82–115. https://doi.org/10.1016/j.inffus.2019.12.012.</w:t>
      </w:r>
    </w:p>
    <w:p>
      <w:pPr>
        <w:pStyle w:val="BodyText"/>
      </w:pPr>
      <w:r>
        <w:t xml:space="preserve">[22] M. Wang, K. Zheng, Y. Yang, X. Wang, An explainable machine learning framework for intrusion detection systems, IEEE Access 8 (2020) 73127–73141. https://doi.org/10.1109/ACCESS.2020.2988359.</w:t>
      </w:r>
    </w:p>
    <w:p>
      <w:pPr>
        <w:pStyle w:val="BodyText"/>
      </w:pPr>
      <w:r>
        <w:t xml:space="preserve">[23] A. Alabbadi, F. Bajaber, An intrusion detection system over the IoT data streams using eXplainable Artificial Intelligence (XAI), Sensors 25 (3) (2025) 847. https://doi.org/10.3390/s25030847.</w:t>
      </w:r>
    </w:p>
    <w:p>
      <w:pPr>
        <w:pStyle w:val="BodyText"/>
      </w:pPr>
      <w:r>
        <w:t xml:space="preserve">[24] X. Wang, X. Yang, X. Liang, X. Zhang, W. Zhang, X. Gong, Combating alert fatigue with AlertPro: Context-aware alert prioritization using reinforcement learning for multi-step attack detection, Comput. Secur. 137 (2024) 103583. https://doi.org/10.1016/j.cose.2023.103583.</w:t>
      </w:r>
    </w:p>
    <w:p>
      <w:pPr>
        <w:pStyle w:val="BodyText"/>
      </w:pPr>
      <w:r>
        <w:t xml:space="preserve">[25] S. Bag, S. Sarkar, I. Bose, Enhancing cybersecurity risk assessment using temporal knowledge graph-based explainable decision support system, Decis. Support Syst. 198 (2025) 114526. https://doi.org/10.1016/j.dss.2025.114526.</w:t>
      </w:r>
    </w:p>
    <w:p>
      <w:pPr>
        <w:pStyle w:val="BodyText"/>
      </w:pPr>
      <w:r>
        <w:t xml:space="preserve">[26] M. Abdar, F. Pourpanah, S. Hussain, D. Rezazadegan, L. Liu, M. Ghavamzadeh, P. Fieguth, X. Cao, A. Khosravi, U. R. Acharya, V. Makarenkov, S. Nahavandi, A review of uncertainty quantification in deep learning: Techniques, applications and challenges, Inf. Fusion 76 (2021) 243–297. https://doi.org/10.1016/j.inffus.2021.05.008.</w:t>
      </w:r>
    </w:p>
    <w:p>
      <w:pPr>
        <w:pStyle w:val="BodyText"/>
      </w:pPr>
      <w:r>
        <w:t xml:space="preserve">[27] M. Tavallaee, E. Bagheri, W. Lu, A. A. Ghorbani, A detailed analysis of the KDD CUP 99 data set, in: Proc. 2009 IEEE Symp. Comput. Intell. Secur. Def. Appl. (CISDA), 2009, pp. 1–6. https://doi.org/10.1109/CISDA.2009.5356528.</w:t>
      </w:r>
    </w:p>
    <w:p>
      <w:pPr>
        <w:pStyle w:val="BodyText"/>
      </w:pPr>
      <w:r>
        <w:t xml:space="preserve">[28] J. H. Friedman, Greedy function approximation: A gradient boosting machine, Ann. Stat. 29 (5) (2001) 1189–1232. https://doi.org/10.1214/aos/1013203451.</w:t>
      </w:r>
    </w:p>
    <w:p>
      <w:pPr>
        <w:pStyle w:val="BodyText"/>
      </w:pPr>
      <w:r>
        <w:t xml:space="preserve">[29] B. Efron, R. J. Tibshirani, An Introduction to the Bootstrap, Chapman &amp; Hall/CRC, New York, 1994. https://doi.org/10.1201/9780429246593.</w:t>
      </w:r>
    </w:p>
    <w:p>
      <w:pPr>
        <w:pStyle w:val="BodyText"/>
      </w:pPr>
      <w:r>
        <w:t xml:space="preserve">[30] F. Wilcoxon, Individual comparisons by ranking methods, Biom. Bull. 1 (6) (1945) 80–83. https://doi.org/10.2307/3001968.</w:t>
      </w:r>
    </w:p>
    <w:p>
      <w:pPr>
        <w:pStyle w:val="BodyText"/>
      </w:pPr>
      <w:r>
        <w:t xml:space="preserve">[31] M. Ring, S. Wunderlich, D. Scheuring, D. Landes, A. Hotho, A survey of network-based intrusion detection data sets, Comput. Secur. 86 (2019) 147–167. https://doi.org/10.1016/j.cose.2019.06.005.</w:t>
      </w:r>
    </w:p>
    <w:p>
      <w:pPr>
        <w:pStyle w:val="BodyText"/>
      </w:pPr>
      <w:r>
        <w:t xml:space="preserve">[32] M. A. Al-Garadi, A. Mohamed, A. K. Al-Ali, X. Du, I. Ali, M. Guizani, A survey of machine and deep learning methods for Internet of Things (IoT) security, IEEE Commun. Surv. Tutor. 22 (3) (2020) 1646–1685. https://doi.org/10.1109/COMST.2020.2988293.</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hyperlink" Id="rId9" Target="https://github.com/nithin427/fuzzy-neural-cyber-triag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nithin427/fuzzy-neural-cyber-tri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Fuzzy–Neural Decision Intelligence for Cost-Aware Cyber Alert Triage</dc:title>
  <dc:creator/>
  <cp:keywords/>
  <dcterms:created xsi:type="dcterms:W3CDTF">2026-10-23T19:24:42Z</dcterms:created>
  <dcterms:modified xsi:type="dcterms:W3CDTF">2026-10-23T19:24:42Z</dcterms:modified>
</cp:coreProperties>
</file>

<file path=docProps/custom.xml><?xml version="1.0" encoding="utf-8"?>
<Properties xmlns="http://schemas.openxmlformats.org/officeDocument/2006/custom-properties" xmlns:vt="http://schemas.openxmlformats.org/officeDocument/2006/docPropsVTypes"/>
</file>