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Fuzzy–Neural Decision Intelligence for Cost-Aware Cyber Alert Triage</w:t>
      </w:r>
    </w:p>
    <w:p>
      <w:pPr>
        <w:pStyle w:val="Author"/>
      </w:pPr>
      <w:r>
        <w:t xml:space="preserve">Sai Nithin Erigineni*</w:t>
      </w:r>
    </w:p>
    <w:p>
      <w:pPr>
        <w:pStyle w:val="Affiliation"/>
      </w:pPr>
      <w:r>
        <w:t xml:space="preserve">DBA, Midwest University, 851 Parr Rd, Wentzville, MO 63385, United States</w:t>
      </w:r>
      <w:r>
        <w:br/>
      </w:r>
      <w:r>
        <w:t xml:space="preserve">*Corresponding author. E-mail: serigineni@midwest.edu</w:t>
      </w:r>
    </w:p>
    <w:p>
      <w:pPr>
        <w:pStyle w:val="Affiliation"/>
      </w:pPr>
      <w:r>
        <w:t xml:space="preserve">Article type: Short Communication. Submitted to</w:t>
      </w:r>
      <w:r>
        <w:t xml:space="preserve"> </w:t>
      </w:r>
      <w:r>
        <w:rPr>
          <w:i/>
          <w:iCs/>
        </w:rPr>
        <w:t xml:space="preserve">Knowledge-Based Systems</w:t>
      </w:r>
      <w:r>
        <w:t xml:space="preserve">.</w:t>
      </w:r>
    </w:p>
    <w:bookmarkStart w:id="9" w:name="abstract"/>
    <w:p>
      <w:pPr>
        <w:pStyle w:val="Heading1"/>
      </w:pPr>
      <w:r>
        <w:t xml:space="preserve">Abstract</w:t>
      </w:r>
    </w:p>
    <w:p>
      <w:pPr>
        <w:pStyle w:val="AbstractText"/>
      </w:pPr>
      <w:r>
        <w:t xml:space="preserve">Security operations centres (SOCs) usually turn detector scores into actions with a single hand-set threshold. We treat alert triage as a knowledge-based decision problem: a multilayer perceptron (MLP) estimates attack propensity, fuzzy membership functions map it to Low, Medium and High risk bands, and three production rules assign Monitor, Soft-block or Escalate. On 20,000 NSL-KDD test alerts, gradient boosting is the stronger detector (ROC-AUC 0.947 against 0.908), yet on the same MLP scores the rule base lowers the mean triage cost to 3.068 (95% CI [3.016, 3.118]), against 3.264 for a 0.5 threshold and 4.309 for top-20% escalation (both Wilcoxon</w:t>
      </w:r>
      <w:r>
        <w:t xml:space="preserve"> </w:t>
      </w:r>
      <w:r>
        <w:rPr>
          <w:i/>
          <w:iCs/>
        </w:rPr>
        <w:t xml:space="preserve">p</w:t>
      </w:r>
      <w:r>
        <w:t xml:space="preserve"> </w:t>
      </w:r>
      <w:r>
        <w:t xml:space="preserve">&lt; 10⁻¹⁰⁰), and raises attack coverage from 0.655 to 0.686. It is cheaper than both crisp rules in all ten repeated runs (</w:t>
      </w:r>
      <w:r>
        <w:rPr>
          <w:i/>
          <w:iCs/>
        </w:rPr>
        <w:t xml:space="preserve">p</w:t>
      </w:r>
      <w:r>
        <w:t xml:space="preserve"> </w:t>
      </w:r>
      <w:r>
        <w:t xml:space="preserve">= 0.002) and than the threshold at every tested missed-attack cost. The gain comes from the Soft-block band, and a Bayes cost rule is cheaper still (2.164).</w:t>
      </w:r>
    </w:p>
    <w:p>
      <w:pPr>
        <w:pStyle w:val="Keywords"/>
      </w:pPr>
      <w:r>
        <w:rPr>
          <w:b/>
          <w:bCs/>
        </w:rPr>
        <w:t xml:space="preserve">Keywords:</w:t>
      </w:r>
      <w:r>
        <w:t xml:space="preserve"> </w:t>
      </w:r>
      <w:r>
        <w:t xml:space="preserve">Fuzzy logic; Neural networks; Decision intelligence; Intrusion detection; Alert triage; Cost-sensitive decisions; Knowledge-based systems</w:t>
      </w:r>
    </w:p>
    <w:bookmarkEnd w:id="9"/>
    <w:bookmarkStart w:id="10" w:name="introduction"/>
    <w:p>
      <w:pPr>
        <w:pStyle w:val="Heading1"/>
      </w:pPr>
      <w:r>
        <w:t xml:space="preserve">1. Introduction</w:t>
      </w:r>
    </w:p>
    <w:p>
      <w:pPr>
        <w:pStyle w:val="FirstParagraph"/>
      </w:pPr>
      <w:r>
        <w:t xml:space="preserve">Security operations centres (SOCs) collect, analyse and respond to security alerts [1], but intrusion detectors produce far more alerts than analysts can investigate, most of them false positives [2]. Intrusion-detection research, from fuzzy and neuro-fuzzy detectors [3,4] to deep networks trained on NSL-KDD [5,6], usually ends with a risk score judged by accuracy or by the area under the receiver operating characteristic curve (ROC-AUC). A SOC manager instead has to decide which alerts to monitor, contain or escalate under limited analyst capacity and unequal error costs. Three-way decisions choose among acceptance, rejection and deferment under stated losses [7], and SOC studies learn when to defer alerts to analysts [8] or rank them by reinforcement learning [9], but these designs do not assign graded actions through readable rules.</w:t>
      </w:r>
    </w:p>
    <w:p>
      <w:pPr>
        <w:pStyle w:val="TableCaption"/>
      </w:pPr>
      <w:r>
        <w:rPr>
          <w:b/>
          <w:bCs/>
        </w:rPr>
        <w:t xml:space="preserve">Table 1.</w:t>
      </w:r>
      <w:r>
        <w:t xml:space="preserve"> </w:t>
      </w:r>
      <w:r>
        <w:t xml:space="preserve">Related work compared by design property, because data sets and tasks differ.</w:t>
      </w:r>
    </w:p>
    <w:tbl>
      <w:tblPr>
        <w:tblLayout w:type="fixed"/>
        <w:tblLook w:firstRow="1" w:lastRow="0" w:firstColumn="0" w:lastColumn="0" w:noHBand="0" w:noVBand="0" w:val="0020"/>
        <w:tblCaption w:val="Table 1. Related work compared by design property, because data sets and tasks differ."/>
        <w:tblW w:w="9288" w:type="dxa"/>
        <w:tblCellMar>
          <w:left w:w="60" w:type="dxa"/>
          <w:right w:w="60" w:type="dxa"/>
        </w:tblCellMar>
        <w:tblLayout w:type="fixed"/>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655"/>
        <w:gridCol w:w="2808"/>
        <w:gridCol w:w="2088"/>
        <w:gridCol w:w="648"/>
        <w:gridCol w:w="648"/>
        <w:gridCol w:w="792"/>
        <w:gridCol w:w="648"/>
      </w:tblGrid>
      <w:tr>
        <w:trPr>
          <w:cantSplit/>
        </w:trPr>
        <w:tc>
          <w:tcPr>
            <w:tcW w:type="dxa" w:w="1656"/>
            <w:tcBorders>
              <w:bottom w:val="single" w:sz="6" w:space="0" w:color="000000"/>
            </w:tcBorders>
          </w:tcPr>
          <w:p>
            <w:pPr>
              <w:pStyle w:val="Compact"/>
              <w:keepNext/>
              <w:spacing w:before="20" w:after="20" w:line="240" w:lineRule="auto"/>
              <w:jc w:val="left"/>
            </w:pPr>
            <w:r>
              <w:rPr>
                <w:rFonts w:ascii="Times New Roman" w:hAnsi="Times New Roman"/>
                <w:b/>
                <w:sz w:val="18"/>
              </w:rPr>
              <w:t xml:space="preserve">Study</w:t>
            </w:r>
          </w:p>
        </w:tc>
        <w:tc>
          <w:tcPr>
            <w:tcW w:type="dxa" w:w="2808"/>
            <w:tcBorders>
              <w:bottom w:val="single" w:sz="6" w:space="0" w:color="000000"/>
            </w:tcBorders>
          </w:tcPr>
          <w:p>
            <w:pPr>
              <w:pStyle w:val="Compact"/>
              <w:keepNext/>
              <w:spacing w:before="20" w:after="20" w:line="240" w:lineRule="auto"/>
              <w:jc w:val="left"/>
            </w:pPr>
            <w:r>
              <w:rPr>
                <w:rFonts w:ascii="Times New Roman" w:hAnsi="Times New Roman"/>
                <w:b/>
                <w:sz w:val="18"/>
              </w:rPr>
              <w:t xml:space="preserve">Approach</w:t>
            </w:r>
          </w:p>
        </w:tc>
        <w:tc>
          <w:tcPr>
            <w:tcW w:type="dxa" w:w="2088"/>
            <w:tcBorders>
              <w:bottom w:val="single" w:sz="6" w:space="0" w:color="000000"/>
            </w:tcBorders>
          </w:tcPr>
          <w:p>
            <w:pPr>
              <w:pStyle w:val="Compact"/>
              <w:keepNext/>
              <w:spacing w:before="20" w:after="20" w:line="240" w:lineRule="auto"/>
              <w:jc w:val="left"/>
            </w:pPr>
            <w:r>
              <w:rPr>
                <w:rFonts w:ascii="Times New Roman" w:hAnsi="Times New Roman"/>
                <w:b/>
                <w:sz w:val="18"/>
              </w:rPr>
              <w:t xml:space="preserve">Data</w:t>
            </w:r>
          </w:p>
        </w:tc>
        <w:tc>
          <w:tcPr>
            <w:tcW w:type="dxa" w:w="648"/>
            <w:tcBorders>
              <w:bottom w:val="single" w:sz="6" w:space="0" w:color="000000"/>
            </w:tcBorders>
          </w:tcPr>
          <w:p>
            <w:pPr>
              <w:pStyle w:val="Compact"/>
              <w:keepNext/>
              <w:spacing w:before="20" w:after="20" w:line="240" w:lineRule="auto"/>
              <w:jc w:val="center"/>
            </w:pPr>
            <w:r>
              <w:rPr>
                <w:rFonts w:ascii="Times New Roman" w:hAnsi="Times New Roman"/>
                <w:b/>
                <w:sz w:val="18"/>
              </w:rPr>
              <w:t xml:space="preserve">Cost</w:t>
            </w:r>
          </w:p>
        </w:tc>
        <w:tc>
          <w:tcPr>
            <w:tcW w:type="dxa" w:w="648"/>
            <w:tcBorders>
              <w:bottom w:val="single" w:sz="6" w:space="0" w:color="000000"/>
            </w:tcBorders>
          </w:tcPr>
          <w:p>
            <w:pPr>
              <w:pStyle w:val="Compact"/>
              <w:keepNext/>
              <w:spacing w:before="20" w:after="20" w:line="240" w:lineRule="auto"/>
              <w:jc w:val="center"/>
            </w:pPr>
            <w:r>
              <w:rPr>
                <w:rFonts w:ascii="Times New Roman" w:hAnsi="Times New Roman"/>
                <w:b/>
                <w:sz w:val="18"/>
              </w:rPr>
              <w:t xml:space="preserve">Rules</w:t>
            </w:r>
          </w:p>
        </w:tc>
        <w:tc>
          <w:tcPr>
            <w:tcW w:type="dxa" w:w="792"/>
            <w:tcBorders>
              <w:bottom w:val="single" w:sz="6" w:space="0" w:color="000000"/>
            </w:tcBorders>
          </w:tcPr>
          <w:p>
            <w:pPr>
              <w:pStyle w:val="Compact"/>
              <w:keepNext/>
              <w:spacing w:before="20" w:after="20" w:line="240" w:lineRule="auto"/>
              <w:jc w:val="center"/>
            </w:pPr>
            <w:r>
              <w:rPr>
                <w:rFonts w:ascii="Times New Roman" w:hAnsi="Times New Roman"/>
                <w:b/>
                <w:sz w:val="18"/>
              </w:rPr>
              <w:t xml:space="preserve">Graded</w:t>
            </w:r>
          </w:p>
        </w:tc>
        <w:tc>
          <w:tcPr>
            <w:tcW w:type="dxa" w:w="648"/>
            <w:tcBorders>
              <w:bottom w:val="single" w:sz="6" w:space="0" w:color="000000"/>
            </w:tcBorders>
          </w:tcPr>
          <w:p>
            <w:pPr>
              <w:pStyle w:val="Compact"/>
              <w:keepNext/>
              <w:spacing w:before="20" w:after="20" w:line="240" w:lineRule="auto"/>
              <w:jc w:val="center"/>
            </w:pPr>
            <w:r>
              <w:rPr>
                <w:rFonts w:ascii="Times New Roman" w:hAnsi="Times New Roman"/>
                <w:b/>
                <w:sz w:val="18"/>
              </w:rPr>
              <w:t xml:space="preserve">Tests</w:t>
            </w:r>
          </w:p>
        </w:tc>
      </w:tr>
      <w:tr>
        <w:trPr>
          <w:cantSplit/>
        </w:trPr>
        <w:tc>
          <w:tcPr>
            <w:tcW w:type="dxa" w:w="1656"/>
          </w:tcPr>
          <w:p>
            <w:pPr>
              <w:pStyle w:val="Compact"/>
              <w:keepNext/>
              <w:spacing w:before="20" w:after="20" w:line="240" w:lineRule="auto"/>
              <w:jc w:val="left"/>
            </w:pPr>
            <w:r>
              <w:rPr>
                <w:rFonts w:ascii="Times New Roman" w:hAnsi="Times New Roman"/>
                <w:sz w:val="18"/>
              </w:rPr>
              <w:t xml:space="preserve">Toosi [3]</w:t>
            </w:r>
          </w:p>
        </w:tc>
        <w:tc>
          <w:tcPr>
            <w:tcW w:type="dxa" w:w="2808"/>
          </w:tcPr>
          <w:p>
            <w:pPr>
              <w:pStyle w:val="Compact"/>
              <w:keepNext/>
              <w:spacing w:before="20" w:after="20" w:line="240" w:lineRule="auto"/>
              <w:jc w:val="left"/>
            </w:pPr>
            <w:r>
              <w:rPr>
                <w:rFonts w:ascii="Times New Roman" w:hAnsi="Times New Roman"/>
                <w:sz w:val="18"/>
              </w:rPr>
              <w:t xml:space="preserve">Neuro-fuzzy + genetic tuning</w:t>
            </w:r>
          </w:p>
        </w:tc>
        <w:tc>
          <w:tcPr>
            <w:tcW w:type="dxa" w:w="2088"/>
          </w:tcPr>
          <w:p>
            <w:pPr>
              <w:pStyle w:val="Compact"/>
              <w:keepNext/>
              <w:spacing w:before="20" w:after="20" w:line="240" w:lineRule="auto"/>
              <w:jc w:val="left"/>
            </w:pPr>
            <w:r>
              <w:rPr>
                <w:rFonts w:ascii="Times New Roman" w:hAnsi="Times New Roman"/>
                <w:sz w:val="18"/>
              </w:rPr>
              <w:t xml:space="preserve">KDD Cup 99</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792"/>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r>
      <w:tr>
        <w:trPr>
          <w:cantSplit/>
        </w:trPr>
        <w:tc>
          <w:tcPr>
            <w:tcW w:type="dxa" w:w="1656"/>
          </w:tcPr>
          <w:p>
            <w:pPr>
              <w:pStyle w:val="Compact"/>
              <w:keepNext/>
              <w:spacing w:before="20" w:after="20" w:line="240" w:lineRule="auto"/>
              <w:jc w:val="left"/>
            </w:pPr>
            <w:r>
              <w:rPr>
                <w:rFonts w:ascii="Times New Roman" w:hAnsi="Times New Roman"/>
                <w:sz w:val="18"/>
              </w:rPr>
              <w:t xml:space="preserve">Hamamoto [4]</w:t>
            </w:r>
          </w:p>
        </w:tc>
        <w:tc>
          <w:tcPr>
            <w:tcW w:type="dxa" w:w="2808"/>
          </w:tcPr>
          <w:p>
            <w:pPr>
              <w:pStyle w:val="Compact"/>
              <w:keepNext/>
              <w:spacing w:before="20" w:after="20" w:line="240" w:lineRule="auto"/>
              <w:jc w:val="left"/>
            </w:pPr>
            <w:r>
              <w:rPr>
                <w:rFonts w:ascii="Times New Roman" w:hAnsi="Times New Roman"/>
                <w:sz w:val="18"/>
              </w:rPr>
              <w:t xml:space="preserve">Genetic signature + fuzzy logic</w:t>
            </w:r>
          </w:p>
        </w:tc>
        <w:tc>
          <w:tcPr>
            <w:tcW w:type="dxa" w:w="2088"/>
          </w:tcPr>
          <w:p>
            <w:pPr>
              <w:pStyle w:val="Compact"/>
              <w:keepNext/>
              <w:spacing w:before="20" w:after="20" w:line="240" w:lineRule="auto"/>
              <w:jc w:val="left"/>
            </w:pPr>
            <w:r>
              <w:rPr>
                <w:rFonts w:ascii="Times New Roman" w:hAnsi="Times New Roman"/>
                <w:sz w:val="18"/>
              </w:rPr>
              <w:t xml:space="preserve">Campus IP flows</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792"/>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n.r.</w:t>
            </w:r>
          </w:p>
        </w:tc>
      </w:tr>
      <w:tr>
        <w:trPr>
          <w:cantSplit/>
        </w:trPr>
        <w:tc>
          <w:tcPr>
            <w:tcW w:type="dxa" w:w="1656"/>
          </w:tcPr>
          <w:p>
            <w:pPr>
              <w:pStyle w:val="Compact"/>
              <w:keepNext/>
              <w:spacing w:before="20" w:after="20" w:line="240" w:lineRule="auto"/>
              <w:jc w:val="left"/>
            </w:pPr>
            <w:r>
              <w:rPr>
                <w:rFonts w:ascii="Times New Roman" w:hAnsi="Times New Roman"/>
                <w:sz w:val="18"/>
              </w:rPr>
              <w:t xml:space="preserve">Vinayakumar [5]</w:t>
            </w:r>
          </w:p>
        </w:tc>
        <w:tc>
          <w:tcPr>
            <w:tcW w:type="dxa" w:w="2808"/>
          </w:tcPr>
          <w:p>
            <w:pPr>
              <w:pStyle w:val="Compact"/>
              <w:keepNext/>
              <w:spacing w:before="20" w:after="20" w:line="240" w:lineRule="auto"/>
              <w:jc w:val="left"/>
            </w:pPr>
            <w:r>
              <w:rPr>
                <w:rFonts w:ascii="Times New Roman" w:hAnsi="Times New Roman"/>
                <w:sz w:val="18"/>
              </w:rPr>
              <w:t xml:space="preserve">Deep neural network</w:t>
            </w:r>
          </w:p>
        </w:tc>
        <w:tc>
          <w:tcPr>
            <w:tcW w:type="dxa" w:w="2088"/>
          </w:tcPr>
          <w:p>
            <w:pPr>
              <w:pStyle w:val="Compact"/>
              <w:keepNext/>
              <w:spacing w:before="20" w:after="20" w:line="240" w:lineRule="auto"/>
              <w:jc w:val="left"/>
            </w:pPr>
            <w:r>
              <w:rPr>
                <w:rFonts w:ascii="Times New Roman" w:hAnsi="Times New Roman"/>
                <w:sz w:val="18"/>
              </w:rPr>
              <w:t xml:space="preserve">NSL-KDD + 5 others</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792"/>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r>
      <w:tr>
        <w:trPr>
          <w:cantSplit/>
        </w:trPr>
        <w:tc>
          <w:tcPr>
            <w:tcW w:type="dxa" w:w="1656"/>
          </w:tcPr>
          <w:p>
            <w:pPr>
              <w:pStyle w:val="Compact"/>
              <w:keepNext/>
              <w:spacing w:before="20" w:after="20" w:line="240" w:lineRule="auto"/>
              <w:jc w:val="left"/>
            </w:pPr>
            <w:r>
              <w:rPr>
                <w:rFonts w:ascii="Times New Roman" w:hAnsi="Times New Roman"/>
                <w:sz w:val="18"/>
              </w:rPr>
              <w:t xml:space="preserve">Gupta [10]</w:t>
            </w:r>
          </w:p>
        </w:tc>
        <w:tc>
          <w:tcPr>
            <w:tcW w:type="dxa" w:w="2808"/>
          </w:tcPr>
          <w:p>
            <w:pPr>
              <w:pStyle w:val="Compact"/>
              <w:keepNext/>
              <w:spacing w:before="20" w:after="20" w:line="240" w:lineRule="auto"/>
              <w:jc w:val="left"/>
            </w:pPr>
            <w:r>
              <w:rPr>
                <w:rFonts w:ascii="Times New Roman" w:hAnsi="Times New Roman"/>
                <w:sz w:val="18"/>
              </w:rPr>
              <w:t xml:space="preserve">Cost-sensitive deep ensemble</w:t>
            </w:r>
          </w:p>
        </w:tc>
        <w:tc>
          <w:tcPr>
            <w:tcW w:type="dxa" w:w="2088"/>
          </w:tcPr>
          <w:p>
            <w:pPr>
              <w:pStyle w:val="Compact"/>
              <w:keepNext/>
              <w:spacing w:before="20" w:after="20" w:line="240" w:lineRule="auto"/>
              <w:jc w:val="left"/>
            </w:pPr>
            <w:r>
              <w:rPr>
                <w:rFonts w:ascii="Times New Roman" w:hAnsi="Times New Roman"/>
                <w:sz w:val="18"/>
              </w:rPr>
              <w:t xml:space="preserve">NSL-KDD + 2 others</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792"/>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n.r.</w:t>
            </w:r>
          </w:p>
        </w:tc>
      </w:tr>
      <w:tr>
        <w:trPr>
          <w:cantSplit/>
        </w:trPr>
        <w:tc>
          <w:tcPr>
            <w:tcW w:type="dxa" w:w="1656"/>
          </w:tcPr>
          <w:p>
            <w:pPr>
              <w:pStyle w:val="Compact"/>
              <w:keepNext/>
              <w:spacing w:before="20" w:after="20" w:line="240" w:lineRule="auto"/>
              <w:jc w:val="left"/>
            </w:pPr>
            <w:r>
              <w:rPr>
                <w:rFonts w:ascii="Times New Roman" w:hAnsi="Times New Roman"/>
                <w:sz w:val="18"/>
              </w:rPr>
              <w:t xml:space="preserve">Telikani [11]</w:t>
            </w:r>
          </w:p>
        </w:tc>
        <w:tc>
          <w:tcPr>
            <w:tcW w:type="dxa" w:w="2808"/>
          </w:tcPr>
          <w:p>
            <w:pPr>
              <w:pStyle w:val="Compact"/>
              <w:keepNext/>
              <w:spacing w:before="20" w:after="20" w:line="240" w:lineRule="auto"/>
              <w:jc w:val="left"/>
            </w:pPr>
            <w:r>
              <w:rPr>
                <w:rFonts w:ascii="Times New Roman" w:hAnsi="Times New Roman"/>
                <w:sz w:val="18"/>
              </w:rPr>
              <w:t xml:space="preserve">Cost-sensitive autoencoder + SVM</w:t>
            </w:r>
          </w:p>
        </w:tc>
        <w:tc>
          <w:tcPr>
            <w:tcW w:type="dxa" w:w="2088"/>
          </w:tcPr>
          <w:p>
            <w:pPr>
              <w:pStyle w:val="Compact"/>
              <w:keepNext/>
              <w:spacing w:before="20" w:after="20" w:line="240" w:lineRule="auto"/>
              <w:jc w:val="left"/>
            </w:pPr>
            <w:r>
              <w:rPr>
                <w:rFonts w:ascii="Times New Roman" w:hAnsi="Times New Roman"/>
                <w:sz w:val="18"/>
              </w:rPr>
              <w:t xml:space="preserve">UNSW-NB15, BoT-IoT</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792"/>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n.r.</w:t>
            </w:r>
          </w:p>
        </w:tc>
      </w:tr>
      <w:tr>
        <w:trPr>
          <w:cantSplit/>
        </w:trPr>
        <w:tc>
          <w:tcPr>
            <w:tcW w:type="dxa" w:w="1656"/>
          </w:tcPr>
          <w:p>
            <w:pPr>
              <w:pStyle w:val="Compact"/>
              <w:keepNext/>
              <w:spacing w:before="20" w:after="20" w:line="240" w:lineRule="auto"/>
              <w:jc w:val="left"/>
            </w:pPr>
            <w:r>
              <w:rPr>
                <w:rFonts w:ascii="Times New Roman" w:hAnsi="Times New Roman"/>
                <w:sz w:val="18"/>
              </w:rPr>
              <w:t xml:space="preserve">Wang [12]</w:t>
            </w:r>
          </w:p>
        </w:tc>
        <w:tc>
          <w:tcPr>
            <w:tcW w:type="dxa" w:w="2808"/>
          </w:tcPr>
          <w:p>
            <w:pPr>
              <w:pStyle w:val="Compact"/>
              <w:keepNext/>
              <w:spacing w:before="20" w:after="20" w:line="240" w:lineRule="auto"/>
              <w:jc w:val="left"/>
            </w:pPr>
            <w:r>
              <w:rPr>
                <w:rFonts w:ascii="Times New Roman" w:hAnsi="Times New Roman"/>
                <w:sz w:val="18"/>
              </w:rPr>
              <w:t xml:space="preserve">SHAP explanations</w:t>
            </w:r>
          </w:p>
        </w:tc>
        <w:tc>
          <w:tcPr>
            <w:tcW w:type="dxa" w:w="2088"/>
          </w:tcPr>
          <w:p>
            <w:pPr>
              <w:pStyle w:val="Compact"/>
              <w:keepNext/>
              <w:spacing w:before="20" w:after="20" w:line="240" w:lineRule="auto"/>
              <w:jc w:val="left"/>
            </w:pPr>
            <w:r>
              <w:rPr>
                <w:rFonts w:ascii="Times New Roman" w:hAnsi="Times New Roman"/>
                <w:sz w:val="18"/>
              </w:rPr>
              <w:t xml:space="preserve">NSL-KDD</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792"/>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r>
      <w:tr>
        <w:trPr>
          <w:cantSplit/>
        </w:trPr>
        <w:tc>
          <w:tcPr>
            <w:tcW w:type="dxa" w:w="1656"/>
          </w:tcPr>
          <w:p>
            <w:pPr>
              <w:pStyle w:val="Compact"/>
              <w:keepNext/>
              <w:spacing w:before="20" w:after="20" w:line="240" w:lineRule="auto"/>
              <w:jc w:val="left"/>
            </w:pPr>
            <w:r>
              <w:rPr>
                <w:rFonts w:ascii="Times New Roman" w:hAnsi="Times New Roman"/>
                <w:sz w:val="18"/>
              </w:rPr>
              <w:t xml:space="preserve">Wang [9]</w:t>
            </w:r>
          </w:p>
        </w:tc>
        <w:tc>
          <w:tcPr>
            <w:tcW w:type="dxa" w:w="2808"/>
          </w:tcPr>
          <w:p>
            <w:pPr>
              <w:pStyle w:val="Compact"/>
              <w:keepNext/>
              <w:spacing w:before="20" w:after="20" w:line="240" w:lineRule="auto"/>
              <w:jc w:val="left"/>
            </w:pPr>
            <w:r>
              <w:rPr>
                <w:rFonts w:ascii="Times New Roman" w:hAnsi="Times New Roman"/>
                <w:sz w:val="18"/>
              </w:rPr>
              <w:t xml:space="preserve">Reinforcement-learning ranking</w:t>
            </w:r>
          </w:p>
        </w:tc>
        <w:tc>
          <w:tcPr>
            <w:tcW w:type="dxa" w:w="2088"/>
          </w:tcPr>
          <w:p>
            <w:pPr>
              <w:pStyle w:val="Compact"/>
              <w:keepNext/>
              <w:spacing w:before="20" w:after="20" w:line="240" w:lineRule="auto"/>
              <w:jc w:val="left"/>
            </w:pPr>
            <w:r>
              <w:rPr>
                <w:rFonts w:ascii="Times New Roman" w:hAnsi="Times New Roman"/>
                <w:sz w:val="18"/>
              </w:rPr>
              <w:t xml:space="preserve">5 multi-step sets</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792"/>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n.r.</w:t>
            </w:r>
          </w:p>
        </w:tc>
      </w:tr>
      <w:tr>
        <w:trPr>
          <w:cantSplit/>
        </w:trPr>
        <w:tc>
          <w:tcPr>
            <w:tcW w:type="dxa" w:w="1656"/>
          </w:tcPr>
          <w:p>
            <w:pPr>
              <w:pStyle w:val="Compact"/>
              <w:keepNext/>
              <w:spacing w:before="20" w:after="20" w:line="240" w:lineRule="auto"/>
              <w:jc w:val="left"/>
            </w:pPr>
            <w:r>
              <w:rPr>
                <w:rFonts w:ascii="Times New Roman" w:hAnsi="Times New Roman"/>
                <w:sz w:val="18"/>
              </w:rPr>
              <w:t xml:space="preserve">Bag [13]</w:t>
            </w:r>
          </w:p>
        </w:tc>
        <w:tc>
          <w:tcPr>
            <w:tcW w:type="dxa" w:w="2808"/>
          </w:tcPr>
          <w:p>
            <w:pPr>
              <w:pStyle w:val="Compact"/>
              <w:keepNext/>
              <w:spacing w:before="20" w:after="20" w:line="240" w:lineRule="auto"/>
              <w:jc w:val="left"/>
            </w:pPr>
            <w:r>
              <w:rPr>
                <w:rFonts w:ascii="Times New Roman" w:hAnsi="Times New Roman"/>
                <w:sz w:val="18"/>
              </w:rPr>
              <w:t xml:space="preserve">Knowledge-graph decision support</w:t>
            </w:r>
          </w:p>
        </w:tc>
        <w:tc>
          <w:tcPr>
            <w:tcW w:type="dxa" w:w="2088"/>
          </w:tcPr>
          <w:p>
            <w:pPr>
              <w:pStyle w:val="Compact"/>
              <w:keepNext/>
              <w:spacing w:before="20" w:after="20" w:line="240" w:lineRule="auto"/>
              <w:jc w:val="left"/>
            </w:pPr>
            <w:r>
              <w:rPr>
                <w:rFonts w:ascii="Times New Roman" w:hAnsi="Times New Roman"/>
                <w:sz w:val="18"/>
              </w:rPr>
              <w:t xml:space="preserve">190 firms + 4 sets</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c>
          <w:tcPr>
            <w:tcW w:type="dxa" w:w="792"/>
          </w:tcPr>
          <w:p>
            <w:pPr>
              <w:pStyle w:val="Compact"/>
              <w:keepNext/>
              <w:spacing w:before="20" w:after="20" w:line="240" w:lineRule="auto"/>
              <w:jc w:val="center"/>
            </w:pPr>
            <w:r>
              <w:rPr>
                <w:rFonts w:ascii="Times New Roman" w:hAnsi="Times New Roman"/>
                <w:sz w:val="18"/>
              </w:rPr>
              <w:t xml:space="preserve">×</w:t>
            </w:r>
          </w:p>
        </w:tc>
        <w:tc>
          <w:tcPr>
            <w:tcW w:type="dxa" w:w="648"/>
          </w:tcPr>
          <w:p>
            <w:pPr>
              <w:pStyle w:val="Compact"/>
              <w:keepNext/>
              <w:spacing w:before="20" w:after="20" w:line="240" w:lineRule="auto"/>
              <w:jc w:val="center"/>
            </w:pPr>
            <w:r>
              <w:rPr>
                <w:rFonts w:ascii="Times New Roman" w:hAnsi="Times New Roman"/>
                <w:sz w:val="18"/>
              </w:rPr>
              <w:t xml:space="preserve">✓</w:t>
            </w:r>
          </w:p>
        </w:tc>
      </w:tr>
      <w:tr>
        <w:trPr>
          <w:cantSplit/>
        </w:trPr>
        <w:tc>
          <w:tcPr>
            <w:tcW w:type="dxa" w:w="1656"/>
            <w:tcBorders>
              <w:top w:val="single" w:sz="6" w:space="0" w:color="000000"/>
            </w:tcBorders>
          </w:tcPr>
          <w:p>
            <w:pPr>
              <w:pStyle w:val="Compact"/>
              <w:keepNext w:val="0"/>
              <w:spacing w:before="20" w:after="20" w:line="240" w:lineRule="auto"/>
              <w:jc w:val="left"/>
            </w:pPr>
            <w:r>
              <w:rPr>
                <w:rFonts w:ascii="Times New Roman" w:hAnsi="Times New Roman"/>
                <w:b/>
                <w:bCs/>
                <w:sz w:val="18"/>
              </w:rPr>
              <w:t xml:space="preserve">This work</w:t>
            </w:r>
          </w:p>
        </w:tc>
        <w:tc>
          <w:tcPr>
            <w:tcW w:type="dxa" w:w="2808"/>
            <w:tcBorders>
              <w:top w:val="single" w:sz="6" w:space="0" w:color="000000"/>
            </w:tcBorders>
          </w:tcPr>
          <w:p>
            <w:pPr>
              <w:pStyle w:val="Compact"/>
              <w:keepNext w:val="0"/>
              <w:spacing w:before="20" w:after="20" w:line="240" w:lineRule="auto"/>
              <w:jc w:val="left"/>
            </w:pPr>
            <w:r>
              <w:rPr>
                <w:rFonts w:ascii="Times New Roman" w:hAnsi="Times New Roman"/>
                <w:b/>
                <w:bCs/>
                <w:sz w:val="18"/>
              </w:rPr>
              <w:t xml:space="preserve">MLP + fuzzy rules</w:t>
            </w:r>
            <w:r>
              <w:rPr>
                <w:rFonts w:ascii="Times New Roman" w:hAnsi="Times New Roman"/>
                <w:b/>
                <w:bCs/>
                <w:sz w:val="18"/>
              </w:rPr>
              <w:t xml:space="preserve"> </w:t>
            </w:r>
            <w:r>
              <w:rPr>
                <w:rFonts w:ascii="Times New Roman" w:hAnsi="Times New Roman"/>
                <w:b/>
                <w:bCs/>
                <w:i/>
                <w:iCs/>
                <w:sz w:val="18"/>
              </w:rPr>
              <w:t xml:space="preserve">R</w:t>
            </w:r>
            <w:r>
              <w:rPr>
                <w:rFonts w:ascii="Times New Roman" w:hAnsi="Times New Roman"/>
                <w:b/>
                <w:bCs/>
                <w:sz w:val="18"/>
                <w:vertAlign w:val="subscript"/>
              </w:rPr>
              <w:t xml:space="preserve">1</w:t>
            </w:r>
            <w:r>
              <w:rPr>
                <w:rFonts w:ascii="Times New Roman" w:hAnsi="Times New Roman"/>
                <w:b/>
                <w:bCs/>
                <w:sz w:val="18"/>
              </w:rPr>
              <w:t xml:space="preserve">–</w:t>
            </w:r>
            <w:r>
              <w:rPr>
                <w:rFonts w:ascii="Times New Roman" w:hAnsi="Times New Roman"/>
                <w:b/>
                <w:bCs/>
                <w:i/>
                <w:iCs/>
                <w:sz w:val="18"/>
              </w:rPr>
              <w:t xml:space="preserve">R</w:t>
            </w:r>
            <w:r>
              <w:rPr>
                <w:rFonts w:ascii="Times New Roman" w:hAnsi="Times New Roman"/>
                <w:b/>
                <w:bCs/>
                <w:sz w:val="18"/>
                <w:vertAlign w:val="subscript"/>
              </w:rPr>
              <w:t xml:space="preserve">3</w:t>
            </w:r>
          </w:p>
        </w:tc>
        <w:tc>
          <w:tcPr>
            <w:tcW w:type="dxa" w:w="2088"/>
            <w:tcBorders>
              <w:top w:val="single" w:sz="6" w:space="0" w:color="000000"/>
            </w:tcBorders>
          </w:tcPr>
          <w:p>
            <w:pPr>
              <w:pStyle w:val="Compact"/>
              <w:keepNext w:val="0"/>
              <w:spacing w:before="20" w:after="20" w:line="240" w:lineRule="auto"/>
              <w:jc w:val="left"/>
            </w:pPr>
            <w:r>
              <w:rPr>
                <w:rFonts w:ascii="Times New Roman" w:hAnsi="Times New Roman"/>
                <w:b/>
                <w:bCs/>
                <w:sz w:val="18"/>
              </w:rPr>
              <w:t xml:space="preserve">NSL-KDD, 10 seeds</w:t>
            </w:r>
          </w:p>
        </w:tc>
        <w:tc>
          <w:tcPr>
            <w:tcW w:type="dxa" w:w="648"/>
            <w:tcBorders>
              <w:top w:val="single" w:sz="6" w:space="0" w:color="000000"/>
            </w:tcBorders>
          </w:tcPr>
          <w:p>
            <w:pPr>
              <w:pStyle w:val="Compact"/>
              <w:keepNext w:val="0"/>
              <w:spacing w:before="20" w:after="20" w:line="240" w:lineRule="auto"/>
              <w:jc w:val="center"/>
            </w:pPr>
            <w:r>
              <w:rPr>
                <w:rFonts w:ascii="Times New Roman" w:hAnsi="Times New Roman"/>
                <w:sz w:val="18"/>
              </w:rPr>
              <w:t xml:space="preserve">✓</w:t>
            </w:r>
          </w:p>
        </w:tc>
        <w:tc>
          <w:tcPr>
            <w:tcW w:type="dxa" w:w="648"/>
            <w:tcBorders>
              <w:top w:val="single" w:sz="6" w:space="0" w:color="000000"/>
            </w:tcBorders>
          </w:tcPr>
          <w:p>
            <w:pPr>
              <w:pStyle w:val="Compact"/>
              <w:keepNext w:val="0"/>
              <w:spacing w:before="20" w:after="20" w:line="240" w:lineRule="auto"/>
              <w:jc w:val="center"/>
            </w:pPr>
            <w:r>
              <w:rPr>
                <w:rFonts w:ascii="Times New Roman" w:hAnsi="Times New Roman"/>
                <w:sz w:val="18"/>
              </w:rPr>
              <w:t xml:space="preserve">✓</w:t>
            </w:r>
          </w:p>
        </w:tc>
        <w:tc>
          <w:tcPr>
            <w:tcW w:type="dxa" w:w="792"/>
            <w:tcBorders>
              <w:top w:val="single" w:sz="6" w:space="0" w:color="000000"/>
            </w:tcBorders>
          </w:tcPr>
          <w:p>
            <w:pPr>
              <w:pStyle w:val="Compact"/>
              <w:keepNext w:val="0"/>
              <w:spacing w:before="20" w:after="20" w:line="240" w:lineRule="auto"/>
              <w:jc w:val="center"/>
            </w:pPr>
            <w:r>
              <w:rPr>
                <w:rFonts w:ascii="Times New Roman" w:hAnsi="Times New Roman"/>
                <w:sz w:val="18"/>
              </w:rPr>
              <w:t xml:space="preserve">✓</w:t>
            </w:r>
          </w:p>
        </w:tc>
        <w:tc>
          <w:tcPr>
            <w:tcW w:type="dxa" w:w="648"/>
            <w:tcBorders>
              <w:top w:val="single" w:sz="6" w:space="0" w:color="000000"/>
            </w:tcBorders>
          </w:tcPr>
          <w:p>
            <w:pPr>
              <w:pStyle w:val="Compact"/>
              <w:keepNext w:val="0"/>
              <w:spacing w:before="20" w:after="20" w:line="240" w:lineRule="auto"/>
              <w:jc w:val="center"/>
            </w:pPr>
            <w:r>
              <w:rPr>
                <w:rFonts w:ascii="Times New Roman" w:hAnsi="Times New Roman"/>
                <w:sz w:val="18"/>
              </w:rPr>
              <w:t xml:space="preserve">✓</w:t>
            </w:r>
          </w:p>
        </w:tc>
      </w:tr>
    </w:tbl>
    <w:p>
      <w:pPr>
        <w:pStyle w:val="TableNote"/>
      </w:pPr>
      <w:r>
        <w:t xml:space="preserve">Cost: actions chosen under an explicit cost model. Rules: readable decision logic. Graded: more than two actions. Tests: significance tests or confidence intervals. ✓ present, (✓) partial, × absent, n.r. not reported. SHAP: Shapley additive explanations; SVM: support vector machine.</w:t>
      </w:r>
    </w:p>
    <w:p>
      <w:pPr>
        <w:pStyle w:val="BodyText"/>
      </w:pPr>
      <w:r>
        <w:t xml:space="preserve">Fuzzy systems suit this step, because they express learned evidence as linguistic rules that operators can read and audit [14,15], but existing studies use them for other purposes (Table 1). Fuzzy intrusion detectors use rules to improve accuracy but still output a binary alarm [3,4,16]. Cost-sensitive learning [17] enters intrusion detection through weighted training losses [10,11], so costs shape the classifier rather than the action. Post hoc explainable artificial intelligence (XAI) explains a score after it has been produced [12,18,19], and knowledge-based decision support has shown the value of explicit domain knowledge in cyber-risk assessment [13]. To our knowledge, no study combines an action-cost model, readable rules and graded responses in one triage layer. This Short Communication proposes such a layer and evaluates it by the quality of its decisions.</w:t>
      </w:r>
    </w:p>
    <w:bookmarkEnd w:id="10"/>
    <w:bookmarkStart w:id="14" w:name="proposed-fuzzyneural-decision-framework"/>
    <w:p>
      <w:pPr>
        <w:pStyle w:val="Heading1"/>
      </w:pPr>
      <w:r>
        <w:t xml:space="preserve">2. Proposed fuzzy–neural decision framework</w:t>
      </w:r>
    </w:p>
    <w:p>
      <w:pPr>
        <w:pStyle w:val="FirstParagraph"/>
      </w:pPr>
      <w:r>
        <w:rPr>
          <w:i/>
          <w:iCs/>
        </w:rPr>
        <w:t xml:space="preserve">Neural propensity model.</w:t>
      </w:r>
      <w:r>
        <w:t xml:space="preserve"> </w:t>
      </w:r>
      <w:r>
        <w:t xml:space="preserve">Alert</w:t>
      </w:r>
      <w:r>
        <w:t xml:space="preserve"> </w:t>
      </w:r>
      <m:oMath>
        <m:r>
          <m:t>i</m:t>
        </m:r>
      </m:oMath>
      <w:r>
        <w:t xml:space="preserve"> </w:t>
      </w:r>
      <w:r>
        <w:t xml:space="preserve">has features</w:t>
      </w:r>
      <w:r>
        <w:t xml:space="preserve"> </w:t>
      </w:r>
      <m:oMath>
        <m:sSub>
          <m:e>
            <m:r>
              <m:t>x</m:t>
            </m:r>
          </m:e>
          <m:sub>
            <m:r>
              <m:t>i</m:t>
            </m:r>
          </m:sub>
        </m:sSub>
      </m:oMath>
      <w:r>
        <w:t xml:space="preserve"> </w:t>
      </w:r>
      <w:r>
        <w:t xml:space="preserve">and label</w:t>
      </w:r>
      <w:r>
        <w:t xml:space="preserve"> </w:t>
      </w:r>
      <m:oMath>
        <m:sSub>
          <m:e>
            <m:r>
              <m:t>y</m:t>
            </m:r>
          </m:e>
          <m:sub>
            <m:r>
              <m:t>i</m:t>
            </m:r>
          </m:sub>
        </m:sSub>
        <m:r>
          <m:rPr>
            <m:sty m:val="p"/>
          </m:rPr>
          <m:t>∈</m:t>
        </m:r>
        <m:r>
          <m:rPr>
            <m:sty m:val="p"/>
          </m:rPr>
          <m:t>{</m:t>
        </m:r>
        <m:r>
          <m:t>0</m:t>
        </m:r>
        <m:r>
          <m:rPr>
            <m:sty m:val="p"/>
          </m:rPr>
          <m:t>,</m:t>
        </m:r>
        <m:r>
          <m:t>1</m:t>
        </m:r>
        <m:r>
          <m:rPr>
            <m:sty m:val="p"/>
          </m:rPr>
          <m:t>}</m:t>
        </m:r>
      </m:oMath>
      <w:r>
        <w:t xml:space="preserve">, with 1 for an attack. The 38 numeric NSL-KDD fields are standardised, and the protocol, service and flag fields are one-hot encoded. An MLP</w:t>
      </w:r>
      <w:r>
        <w:t xml:space="preserve"> </w:t>
      </w:r>
      <m:oMath>
        <m:sSub>
          <m:e>
            <m:r>
              <m:t>g</m:t>
            </m:r>
          </m:e>
          <m:sub>
            <m:r>
              <m:t>θ</m:t>
            </m:r>
          </m:sub>
        </m:sSub>
      </m:oMath>
      <w:r>
        <w:t xml:space="preserve"> </w:t>
      </w:r>
      <w:r>
        <w:t xml:space="preserve">with ReLU layers of width 128 and 64, dropout 0.2 and one logit output estimates the attack propensity:</w:t>
      </w:r>
    </w:p>
    <w:p>
      <w:pPr>
        <w:pStyle w:val="BodyText"/>
      </w:pPr>
      <m:oMathPara>
        <m:oMathParaPr>
          <m:jc m:val="center"/>
        </m:oMathParaPr>
        <m:oMath>
          <m:m>
            <m:mPr>
              <m:baseJc m:val="center"/>
              <m:plcHide m:val="on"/>
              <m:mcs>
                <m:mc>
                  <m:mcPr>
                    <m:mcJc m:val="center"/>
                    <m:count m:val="1"/>
                  </m:mcPr>
                </m:mc>
              </m:mcs>
            </m:mPr>
            <m:mr>
              <m:e>
                <m:sSub>
                  <m:e>
                    <m:r>
                      <m:t>p</m:t>
                    </m:r>
                  </m:e>
                  <m:sub>
                    <m:r>
                      <m:t>i</m:t>
                    </m:r>
                  </m:sub>
                </m:sSub>
                <m:r>
                  <m:rPr>
                    <m:sty m:val="p"/>
                  </m:rPr>
                  <m:t>=</m:t>
                </m:r>
                <m:r>
                  <m:t>σ</m:t>
                </m:r>
                <m:d>
                  <m:dPr>
                    <m:begChr m:val="("/>
                    <m:sepChr m:val=""/>
                    <m:endChr m:val=")"/>
                    <m:grow/>
                  </m:dPr>
                  <m:e>
                    <m:sSub>
                      <m:e>
                        <m:r>
                          <m:t>g</m:t>
                        </m:r>
                      </m:e>
                      <m:sub>
                        <m:r>
                          <m:t>θ</m:t>
                        </m:r>
                      </m:sub>
                    </m:sSub>
                    <m:r>
                      <m:rPr>
                        <m:sty m:val="p"/>
                      </m:rPr>
                      <m:t>(</m:t>
                    </m:r>
                    <m:sSub>
                      <m:e>
                        <m:r>
                          <m:t>x</m:t>
                        </m:r>
                      </m:e>
                      <m:sub>
                        <m:r>
                          <m:t>i</m:t>
                        </m:r>
                      </m:sub>
                    </m:sSub>
                    <m:r>
                      <m:rPr>
                        <m:sty m:val="p"/>
                      </m:rPr>
                      <m:t>)</m:t>
                    </m:r>
                  </m:e>
                </m:d>
                <m:r>
                  <m:rPr>
                    <m:sty m:val="p"/>
                  </m:rPr>
                  <m:t>,</m:t>
                </m:r>
              </m:e>
            </m:mr>
            <m:mr>
              <m:e>
                <m:r>
                  <m:rPr>
                    <m:scr m:val="script"/>
                    <m:sty m:val="p"/>
                  </m:rPr>
                  <m:t>L</m:t>
                </m:r>
                <m:r>
                  <m:rPr>
                    <m:sty m:val="p"/>
                  </m:rPr>
                  <m:t>(</m:t>
                </m:r>
                <m:r>
                  <m:t>θ</m:t>
                </m:r>
                <m:r>
                  <m:rPr>
                    <m:sty m:val="p"/>
                  </m:rPr>
                  <m:t>)</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d>
                      <m:dPr>
                        <m:begChr m:val="["/>
                        <m:sepChr m:val=""/>
                        <m:endChr m:val="]"/>
                        <m:grow/>
                      </m:dPr>
                      <m:e>
                        <m:sSub>
                          <m:e>
                            <m:r>
                              <m:t>w</m:t>
                            </m:r>
                          </m:e>
                          <m:sub>
                            <m:r>
                              <m:rPr>
                                <m:nor/>
                                <m:sty m:val="p"/>
                              </m:rPr>
                              <m:t>+</m:t>
                            </m:r>
                          </m:sub>
                        </m:sSub>
                        <m:r>
                          <m:t> </m:t>
                        </m:r>
                        <m:sSub>
                          <m:e>
                            <m:r>
                              <m:t>y</m:t>
                            </m:r>
                          </m:e>
                          <m:sub>
                            <m:r>
                              <m:t>i</m:t>
                            </m:r>
                          </m:sub>
                        </m:sSub>
                        <m:r>
                          <m:rPr>
                            <m:sty m:val="p"/>
                          </m:rPr>
                          <m:t>log</m:t>
                        </m:r>
                        <m:sSub>
                          <m:e>
                            <m:r>
                              <m:t>p</m:t>
                            </m:r>
                          </m:e>
                          <m:sub>
                            <m:r>
                              <m:t>i</m:t>
                            </m:r>
                          </m:sub>
                        </m:sSub>
                        <m:r>
                          <m:rPr>
                            <m:sty m:val="p"/>
                          </m:rPr>
                          <m:t>+</m:t>
                        </m:r>
                        <m:r>
                          <m:rPr>
                            <m:sty m:val="p"/>
                          </m:rPr>
                          <m:t>(</m:t>
                        </m:r>
                        <m:r>
                          <m:t>1</m:t>
                        </m:r>
                        <m:r>
                          <m:rPr>
                            <m:sty m:val="p"/>
                          </m:rPr>
                          <m:t>−</m:t>
                        </m:r>
                        <m:sSub>
                          <m:e>
                            <m:r>
                              <m:t>y</m:t>
                            </m:r>
                          </m:e>
                          <m:sub>
                            <m:r>
                              <m:t>i</m:t>
                            </m:r>
                          </m:sub>
                        </m:sSub>
                        <m:r>
                          <m:rPr>
                            <m:sty m:val="p"/>
                          </m:rPr>
                          <m:t>)</m:t>
                        </m:r>
                        <m:r>
                          <m:rPr>
                            <m:sty m:val="p"/>
                          </m:rPr>
                          <m:t>log</m:t>
                        </m:r>
                        <m:r>
                          <m:rPr>
                            <m:sty m:val="p"/>
                          </m:rPr>
                          <m:t>(</m:t>
                        </m:r>
                        <m:r>
                          <m:t>1</m:t>
                        </m:r>
                        <m:r>
                          <m:rPr>
                            <m:sty m:val="p"/>
                          </m:rPr>
                          <m:t>−</m:t>
                        </m:r>
                        <m:sSub>
                          <m:e>
                            <m:r>
                              <m:t>p</m:t>
                            </m:r>
                          </m:e>
                          <m:sub>
                            <m:r>
                              <m:t>i</m:t>
                            </m:r>
                          </m:sub>
                        </m:sSub>
                        <m:r>
                          <m:rPr>
                            <m:sty m:val="p"/>
                          </m:rPr>
                          <m:t>)</m:t>
                        </m:r>
                      </m:e>
                    </m:d>
                  </m:e>
                </m:nary>
                <m:r>
                  <m:rPr>
                    <m:sty m:val="p"/>
                  </m:rPr>
                  <m:t>,</m:t>
                </m:r>
                <m:r>
                  <m:t>  </m:t>
                </m:r>
                <m:sSub>
                  <m:e>
                    <m:r>
                      <m:t>w</m:t>
                    </m:r>
                  </m:e>
                  <m:sub>
                    <m:r>
                      <m:rPr>
                        <m:nor/>
                        <m:sty m:val="p"/>
                      </m:rPr>
                      <m:t>+</m:t>
                    </m:r>
                  </m:sub>
                </m:sSub>
                <m:r>
                  <m:rPr>
                    <m:sty m:val="p"/>
                  </m:rPr>
                  <m:t>=</m:t>
                </m:r>
                <m:f>
                  <m:fPr>
                    <m:type m:val="bar"/>
                  </m:fPr>
                  <m:num>
                    <m:sSub>
                      <m:e>
                        <m:r>
                          <m:t>N</m:t>
                        </m:r>
                      </m:e>
                      <m:sub>
                        <m:r>
                          <m:rPr>
                            <m:nor/>
                            <m:sty m:val="p"/>
                          </m:rPr>
                          <m:t>−</m:t>
                        </m:r>
                      </m:sub>
                    </m:sSub>
                  </m:num>
                  <m:den>
                    <m:sSub>
                      <m:e>
                        <m:r>
                          <m:t>N</m:t>
                        </m:r>
                      </m:e>
                      <m:sub>
                        <m:r>
                          <m:rPr>
                            <m:nor/>
                            <m:sty m:val="p"/>
                          </m:rPr>
                          <m:t>+</m:t>
                        </m:r>
                      </m:sub>
                    </m:sSub>
                  </m:den>
                </m:f>
                <m:r>
                  <m:rPr>
                    <m:sty m:val="p"/>
                  </m:rPr>
                  <m:t>,</m:t>
                </m:r>
              </m:e>
            </m:mr>
          </m:m>
          <m:r>
            <m:t>  </m:t>
          </m:r>
          <m:r>
            <m:rPr>
              <m:sty m:val="p"/>
            </m:rPr>
            <m:t>(</m:t>
          </m:r>
          <m:r>
            <m:t>1</m:t>
          </m:r>
          <m:r>
            <m:rPr>
              <m:sty m:val="p"/>
            </m:rPr>
            <m:t>)</m:t>
          </m:r>
        </m:oMath>
      </m:oMathPara>
    </w:p>
    <w:p>
      <w:pPr>
        <w:pStyle w:val="FirstParagraph"/>
      </w:pPr>
      <w:r>
        <w:t xml:space="preserve">where</w:t>
      </w:r>
      <w:r>
        <w:t xml:space="preserve"> </w:t>
      </w:r>
      <m:oMath>
        <m:sSub>
          <m:e>
            <m:r>
              <m:t>N</m:t>
            </m:r>
          </m:e>
          <m:sub>
            <m:r>
              <m:rPr>
                <m:nor/>
                <m:sty m:val="p"/>
              </m:rPr>
              <m:t>−</m:t>
            </m:r>
          </m:sub>
        </m:sSub>
      </m:oMath>
      <w:r>
        <w:t xml:space="preserve"> </w:t>
      </w:r>
      <w:r>
        <w:t xml:space="preserve">and</w:t>
      </w:r>
      <w:r>
        <w:t xml:space="preserve"> </w:t>
      </w:r>
      <m:oMath>
        <m:sSub>
          <m:e>
            <m:r>
              <m:t>N</m:t>
            </m:r>
          </m:e>
          <m:sub>
            <m:r>
              <m:rPr>
                <m:nor/>
                <m:sty m:val="p"/>
              </m:rPr>
              <m:t>+</m:t>
            </m:r>
          </m:sub>
        </m:sSub>
      </m:oMath>
      <w:r>
        <w:t xml:space="preserve"> </w:t>
      </w:r>
      <w:r>
        <w:t xml:space="preserve">count normal and attack training records. Training uses Adam (learning rate</w:t>
      </w:r>
      <w:r>
        <w:t xml:space="preserve"> </w:t>
      </w:r>
      <m:oMath>
        <m:sSup>
          <m:e>
            <m:r>
              <m:t>10</m:t>
            </m:r>
          </m:e>
          <m:sup>
            <m:r>
              <m:rPr>
                <m:sty m:val="p"/>
              </m:rPr>
              <m:t>−</m:t>
            </m:r>
            <m:r>
              <m:t>3</m:t>
            </m:r>
          </m:sup>
        </m:sSup>
      </m:oMath>
      <w:r>
        <w:t xml:space="preserve">, batch size 512) for 20 epochs and keeps the epoch with the best validation ROC-AUC.</w:t>
      </w:r>
    </w:p>
    <w:p>
      <w:pPr>
        <w:pStyle w:val="BodyText"/>
      </w:pPr>
      <w:r>
        <w:rPr>
          <w:i/>
          <w:iCs/>
        </w:rPr>
        <w:t xml:space="preserve">Fuzzy risk bands and production rules.</w:t>
      </w:r>
      <w:r>
        <w:t xml:space="preserve"> </w:t>
      </w:r>
      <w:r>
        <w:t xml:space="preserve">Two shoulder functions and one triangular function [14] map the propensity to three risk bands. With</w:t>
      </w:r>
      <w:r>
        <w:t xml:space="preserve"> </w:t>
      </w:r>
      <m:oMath>
        <m:sSubSup>
          <m:e>
            <m:d>
              <m:dPr>
                <m:begChr m:val="["/>
                <m:sepChr m:val=""/>
                <m:endChr m:val="]"/>
                <m:grow/>
              </m:dPr>
              <m:e>
                <m:r>
                  <m:t>z</m:t>
                </m:r>
              </m:e>
            </m:d>
          </m:e>
          <m:sub>
            <m:r>
              <m:t>0</m:t>
            </m:r>
          </m:sub>
          <m:sup>
            <m:r>
              <m:t>1</m:t>
            </m:r>
          </m:sup>
        </m:sSubSup>
        <m:r>
          <m:rPr>
            <m:sty m:val="p"/>
          </m:rPr>
          <m:t>=</m:t>
        </m:r>
        <m:r>
          <m:rPr>
            <m:sty m:val="p"/>
          </m:rPr>
          <m:t>min</m:t>
        </m:r>
        <m:r>
          <m:rPr>
            <m:sty m:val="p"/>
          </m:rPr>
          <m:t>(</m:t>
        </m:r>
        <m:r>
          <m:t>1</m:t>
        </m:r>
        <m:r>
          <m:rPr>
            <m:sty m:val="p"/>
          </m:rPr>
          <m:t>,</m:t>
        </m:r>
        <m:r>
          <m:rPr>
            <m:sty m:val="p"/>
          </m:rPr>
          <m:t>max</m:t>
        </m:r>
        <m:r>
          <m:rPr>
            <m:sty m:val="p"/>
          </m:rPr>
          <m:t>(</m:t>
        </m:r>
        <m:r>
          <m:t>0</m:t>
        </m:r>
        <m:r>
          <m:rPr>
            <m:sty m:val="p"/>
          </m:rPr>
          <m:t>,</m:t>
        </m:r>
        <m:r>
          <m:t>z</m:t>
        </m:r>
        <m:r>
          <m:rPr>
            <m:sty m:val="p"/>
          </m:rPr>
          <m:t>)</m:t>
        </m:r>
        <m:r>
          <m:rPr>
            <m:sty m:val="p"/>
          </m:rPr>
          <m:t>)</m:t>
        </m:r>
      </m:oMath>
      <w:r>
        <w:t xml:space="preserve">, the membership functions are</w:t>
      </w:r>
    </w:p>
    <w:p>
      <w:pPr>
        <w:pStyle w:val="BodyText"/>
      </w:pPr>
      <m:oMathPara>
        <m:oMathParaPr>
          <m:jc m:val="center"/>
        </m:oMathParaPr>
        <m:oMath>
          <m:sSub>
            <m:e>
              <m:r>
                <m:t>μ</m:t>
              </m:r>
            </m:e>
            <m:sub>
              <m:r>
                <m:t>L</m:t>
              </m:r>
            </m:sub>
          </m:sSub>
          <m:r>
            <m:rPr>
              <m:sty m:val="p"/>
            </m:rPr>
            <m:t>(</m:t>
          </m:r>
          <m:r>
            <m:t>p</m:t>
          </m:r>
          <m:r>
            <m:rPr>
              <m:sty m:val="p"/>
            </m:rPr>
            <m:t>)</m:t>
          </m:r>
          <m:r>
            <m:rPr>
              <m:sty m:val="p"/>
            </m:rPr>
            <m:t>=</m:t>
          </m:r>
          <m:sSubSup>
            <m:e>
              <m:d>
                <m:dPr>
                  <m:begChr m:val="["/>
                  <m:sepChr m:val=""/>
                  <m:endChr m:val="]"/>
                  <m:grow/>
                </m:dPr>
                <m:e>
                  <m:r>
                    <m:rPr>
                      <m:sty m:val="p"/>
                    </m:rPr>
                    <m:t>(</m:t>
                  </m:r>
                  <m:r>
                    <m:t>0.45</m:t>
                  </m:r>
                  <m:r>
                    <m:rPr>
                      <m:sty m:val="p"/>
                    </m:rPr>
                    <m:t>−</m:t>
                  </m:r>
                  <m:r>
                    <m:t>p</m:t>
                  </m:r>
                  <m:r>
                    <m:rPr>
                      <m:sty m:val="p"/>
                    </m:rPr>
                    <m:t>)</m:t>
                  </m:r>
                  <m:r>
                    <m:rPr>
                      <m:sty m:val="p"/>
                    </m:rPr>
                    <m:t>/</m:t>
                  </m:r>
                  <m:r>
                    <m:t>0.45</m:t>
                  </m:r>
                </m:e>
              </m:d>
            </m:e>
            <m:sub>
              <m:r>
                <m:t>0</m:t>
              </m:r>
            </m:sub>
            <m:sup>
              <m:r>
                <m:t>1</m:t>
              </m:r>
            </m:sup>
          </m:sSubSup>
          <m:r>
            <m:rPr>
              <m:sty m:val="p"/>
            </m:rPr>
            <m:t>,</m:t>
          </m:r>
          <m:r>
            <m:t>  </m:t>
          </m:r>
          <m:r>
            <m:rPr>
              <m:sty m:val="p"/>
            </m:rPr>
            <m:t>(</m:t>
          </m:r>
          <m:r>
            <m:t>2</m:t>
          </m:r>
          <m:r>
            <m:rPr>
              <m:sty m:val="p"/>
            </m:rPr>
            <m:t>)</m:t>
          </m:r>
        </m:oMath>
      </m:oMathPara>
    </w:p>
    <w:p>
      <w:pPr>
        <w:pStyle w:val="FirstParagraph"/>
      </w:pPr>
      <m:oMathPara>
        <m:oMathParaPr>
          <m:jc m:val="center"/>
        </m:oMathParaPr>
        <m:oMath>
          <m:sSub>
            <m:e>
              <m:r>
                <m:t>μ</m:t>
              </m:r>
            </m:e>
            <m:sub>
              <m:r>
                <m:t>M</m:t>
              </m:r>
            </m:sub>
          </m:sSub>
          <m:r>
            <m:rPr>
              <m:sty m:val="p"/>
            </m:rPr>
            <m:t>(</m:t>
          </m:r>
          <m:r>
            <m:t>p</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sSubSup>
                      <m:e>
                        <m:d>
                          <m:dPr>
                            <m:begChr m:val="["/>
                            <m:sepChr m:val=""/>
                            <m:endChr m:val="]"/>
                            <m:grow/>
                          </m:dPr>
                          <m:e>
                            <m:r>
                              <m:rPr>
                                <m:sty m:val="p"/>
                              </m:rPr>
                              <m:t>(</m:t>
                            </m:r>
                            <m:r>
                              <m:t>p</m:t>
                            </m:r>
                            <m:r>
                              <m:rPr>
                                <m:sty m:val="p"/>
                              </m:rPr>
                              <m:t>−</m:t>
                            </m:r>
                            <m:r>
                              <m:t>0.15</m:t>
                            </m:r>
                            <m:r>
                              <m:rPr>
                                <m:sty m:val="p"/>
                              </m:rPr>
                              <m:t>)</m:t>
                            </m:r>
                            <m:r>
                              <m:rPr>
                                <m:sty m:val="p"/>
                              </m:rPr>
                              <m:t>/</m:t>
                            </m:r>
                            <m:r>
                              <m:t>0.35</m:t>
                            </m:r>
                          </m:e>
                        </m:d>
                      </m:e>
                      <m:sub>
                        <m:r>
                          <m:t>0</m:t>
                        </m:r>
                      </m:sub>
                      <m:sup>
                        <m:r>
                          <m:t>1</m:t>
                        </m:r>
                      </m:sup>
                    </m:sSubSup>
                    <m:r>
                      <m:rPr>
                        <m:sty m:val="p"/>
                      </m:rPr>
                      <m:t>,</m:t>
                    </m:r>
                  </m:e>
                  <m:e>
                    <m:r>
                      <m:t>p</m:t>
                    </m:r>
                    <m:r>
                      <m:rPr>
                        <m:sty m:val="p"/>
                      </m:rPr>
                      <m:t>&lt;</m:t>
                    </m:r>
                    <m:r>
                      <m:t>0.5</m:t>
                    </m:r>
                    <m:r>
                      <m:rPr>
                        <m:sty m:val="p"/>
                      </m:rPr>
                      <m:t>,</m:t>
                    </m:r>
                  </m:e>
                </m:mr>
                <m:mr>
                  <m:e>
                    <m:sSubSup>
                      <m:e>
                        <m:d>
                          <m:dPr>
                            <m:begChr m:val="["/>
                            <m:sepChr m:val=""/>
                            <m:endChr m:val="]"/>
                            <m:grow/>
                          </m:dPr>
                          <m:e>
                            <m:r>
                              <m:rPr>
                                <m:sty m:val="p"/>
                              </m:rPr>
                              <m:t>(</m:t>
                            </m:r>
                            <m:r>
                              <m:t>0.85</m:t>
                            </m:r>
                            <m:r>
                              <m:rPr>
                                <m:sty m:val="p"/>
                              </m:rPr>
                              <m:t>−</m:t>
                            </m:r>
                            <m:r>
                              <m:t>p</m:t>
                            </m:r>
                            <m:r>
                              <m:rPr>
                                <m:sty m:val="p"/>
                              </m:rPr>
                              <m:t>)</m:t>
                            </m:r>
                            <m:r>
                              <m:rPr>
                                <m:sty m:val="p"/>
                              </m:rPr>
                              <m:t>/</m:t>
                            </m:r>
                            <m:r>
                              <m:t>0.35</m:t>
                            </m:r>
                          </m:e>
                        </m:d>
                      </m:e>
                      <m:sub>
                        <m:r>
                          <m:t>0</m:t>
                        </m:r>
                      </m:sub>
                      <m:sup>
                        <m:r>
                          <m:t>1</m:t>
                        </m:r>
                      </m:sup>
                    </m:sSubSup>
                    <m:r>
                      <m:rPr>
                        <m:sty m:val="p"/>
                      </m:rPr>
                      <m:t>,</m:t>
                    </m:r>
                  </m:e>
                  <m:e>
                    <m:r>
                      <m:t>p</m:t>
                    </m:r>
                    <m:r>
                      <m:rPr>
                        <m:sty m:val="p"/>
                      </m:rPr>
                      <m:t>≥</m:t>
                    </m:r>
                    <m:r>
                      <m:t>0.5</m:t>
                    </m:r>
                    <m:r>
                      <m:rPr>
                        <m:sty m:val="p"/>
                      </m:rPr>
                      <m:t>,</m:t>
                    </m:r>
                  </m:e>
                </m:mr>
              </m:m>
            </m:e>
          </m:d>
          <m:r>
            <m:t>  </m:t>
          </m:r>
          <m:r>
            <m:rPr>
              <m:sty m:val="p"/>
            </m:rPr>
            <m:t>(</m:t>
          </m:r>
          <m:r>
            <m:t>3</m:t>
          </m:r>
          <m:r>
            <m:rPr>
              <m:sty m:val="p"/>
            </m:rPr>
            <m:t>)</m:t>
          </m:r>
        </m:oMath>
      </m:oMathPara>
    </w:p>
    <w:p>
      <w:pPr>
        <w:pStyle w:val="FirstParagraph"/>
      </w:pPr>
      <m:oMathPara>
        <m:oMathParaPr>
          <m:jc m:val="center"/>
        </m:oMathParaPr>
        <m:oMath>
          <m:sSub>
            <m:e>
              <m:r>
                <m:t>μ</m:t>
              </m:r>
            </m:e>
            <m:sub>
              <m:r>
                <m:t>H</m:t>
              </m:r>
            </m:sub>
          </m:sSub>
          <m:r>
            <m:rPr>
              <m:sty m:val="p"/>
            </m:rPr>
            <m:t>(</m:t>
          </m:r>
          <m:r>
            <m:t>p</m:t>
          </m:r>
          <m:r>
            <m:rPr>
              <m:sty m:val="p"/>
            </m:rPr>
            <m:t>)</m:t>
          </m:r>
          <m:r>
            <m:rPr>
              <m:sty m:val="p"/>
            </m:rPr>
            <m:t>=</m:t>
          </m:r>
          <m:sSubSup>
            <m:e>
              <m:d>
                <m:dPr>
                  <m:begChr m:val="["/>
                  <m:sepChr m:val=""/>
                  <m:endChr m:val="]"/>
                  <m:grow/>
                </m:dPr>
                <m:e>
                  <m:r>
                    <m:rPr>
                      <m:sty m:val="p"/>
                    </m:rPr>
                    <m:t>(</m:t>
                  </m:r>
                  <m:r>
                    <m:t>p</m:t>
                  </m:r>
                  <m:r>
                    <m:rPr>
                      <m:sty m:val="p"/>
                    </m:rPr>
                    <m:t>−</m:t>
                  </m:r>
                  <m:r>
                    <m:t>0.55</m:t>
                  </m:r>
                  <m:r>
                    <m:rPr>
                      <m:sty m:val="p"/>
                    </m:rPr>
                    <m:t>)</m:t>
                  </m:r>
                  <m:r>
                    <m:rPr>
                      <m:sty m:val="p"/>
                    </m:rPr>
                    <m:t>/</m:t>
                  </m:r>
                  <m:r>
                    <m:t>0.45</m:t>
                  </m:r>
                </m:e>
              </m:d>
            </m:e>
            <m:sub>
              <m:r>
                <m:t>0</m:t>
              </m:r>
            </m:sub>
            <m:sup>
              <m:r>
                <m:t>1</m:t>
              </m:r>
            </m:sup>
          </m:sSubSup>
          <m:r>
            <m:rPr>
              <m:sty m:val="p"/>
            </m:rPr>
            <m:t>.</m:t>
          </m:r>
          <m:r>
            <m:t>  </m:t>
          </m:r>
          <m:r>
            <m:rPr>
              <m:sty m:val="p"/>
            </m:rPr>
            <m:t>(</m:t>
          </m:r>
          <m:r>
            <m:t>4</m:t>
          </m:r>
          <m:r>
            <m:rPr>
              <m:sty m:val="p"/>
            </m:rPr>
            <m:t>)</m:t>
          </m:r>
        </m:oMath>
      </m:oMathPara>
    </w:p>
    <w:p>
      <w:pPr>
        <w:pStyle w:val="FirstParagraph"/>
      </w:pPr>
      <w:r>
        <w:t xml:space="preserve">The rule base</w:t>
      </w:r>
      <w:r>
        <w:t xml:space="preserve"> </w:t>
      </w:r>
      <m:oMath>
        <m:r>
          <m:rPr>
            <m:scr m:val="script"/>
            <m:sty m:val="p"/>
          </m:rPr>
          <m:t>R</m:t>
        </m:r>
        <m:r>
          <m:rPr>
            <m:sty m:val="p"/>
          </m:rPr>
          <m:t>=</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oMath>
      <w:r>
        <w:t xml:space="preserve"> </w:t>
      </w:r>
      <w:r>
        <w:t xml:space="preserve">reads:</w:t>
      </w:r>
      <w:r>
        <w:t xml:space="preserve"> </w:t>
      </w:r>
      <m:oMath>
        <m:sSub>
          <m:e>
            <m:r>
              <m:t>R</m:t>
            </m:r>
          </m:e>
          <m:sub>
            <m:r>
              <m:t>1</m:t>
            </m:r>
          </m:sub>
        </m:sSub>
      </m:oMath>
      <w:r>
        <w:t xml:space="preserve">, IF risk IS Low THEN Monitor (log the alert without intervention);</w:t>
      </w:r>
      <w:r>
        <w:t xml:space="preserve"> </w:t>
      </w:r>
      <m:oMath>
        <m:sSub>
          <m:e>
            <m:r>
              <m:t>R</m:t>
            </m:r>
          </m:e>
          <m:sub>
            <m:r>
              <m:t>2</m:t>
            </m:r>
          </m:sub>
        </m:sSub>
      </m:oMath>
      <w:r>
        <w:t xml:space="preserve">, IF risk IS Medium THEN Soft-block (apply automatic containment); and</w:t>
      </w:r>
      <w:r>
        <w:t xml:space="preserve"> </w:t>
      </w:r>
      <m:oMath>
        <m:sSub>
          <m:e>
            <m:r>
              <m:t>R</m:t>
            </m:r>
          </m:e>
          <m:sub>
            <m:r>
              <m:t>3</m:t>
            </m:r>
          </m:sub>
        </m:sSub>
      </m:oMath>
      <w:r>
        <w:t xml:space="preserve">, IF risk IS High THEN Escalate (hand the alert to a human analyst). Each rule</w:t>
      </w:r>
      <w:r>
        <w:t xml:space="preserve"> </w:t>
      </w:r>
      <m:oMath>
        <m:sSub>
          <m:e>
            <m:r>
              <m:t>R</m:t>
            </m:r>
          </m:e>
          <m:sub>
            <m:r>
              <m:t>k</m:t>
            </m:r>
          </m:sub>
        </m:sSub>
      </m:oMath>
      <w:r>
        <w:t xml:space="preserve"> </w:t>
      </w:r>
      <w:r>
        <w:t xml:space="preserve">fires with strength</w:t>
      </w:r>
      <w:r>
        <w:t xml:space="preserve"> </w:t>
      </w:r>
      <m:oMath>
        <m:sSub>
          <m:e>
            <m:r>
              <m:t>μ</m:t>
            </m:r>
          </m:e>
          <m:sub>
            <m:r>
              <m:t>k</m:t>
            </m:r>
          </m:sub>
        </m:sSub>
        <m:r>
          <m:rPr>
            <m:sty m:val="p"/>
          </m:rPr>
          <m:t>(</m:t>
        </m:r>
        <m:sSub>
          <m:e>
            <m:r>
              <m:t>p</m:t>
            </m:r>
          </m:e>
          <m:sub>
            <m:r>
              <m:t>i</m:t>
            </m:r>
          </m:sub>
        </m:sSub>
        <m:r>
          <m:rPr>
            <m:sty m:val="p"/>
          </m:rPr>
          <m:t>)</m:t>
        </m:r>
      </m:oMath>
      <w:r>
        <w:t xml:space="preserve">. The strongest rule sets the action, and ties go to the less severe action:</w:t>
      </w:r>
    </w:p>
    <w:p>
      <w:pPr>
        <w:pStyle w:val="BodyText"/>
      </w:pPr>
      <m:oMathPara>
        <m:oMathParaPr>
          <m:jc m:val="center"/>
        </m:oMathParaPr>
        <m:oMath>
          <m:sSub>
            <m:e>
              <m:r>
                <m:t>a</m:t>
              </m:r>
            </m:e>
            <m:sub>
              <m:r>
                <m:t>i</m:t>
              </m:r>
            </m:sub>
          </m:sSub>
          <m:r>
            <m:rPr>
              <m:sty m:val="p"/>
            </m:rPr>
            <m:t>=</m:t>
          </m:r>
          <m:r>
            <m:t>A</m:t>
          </m:r>
          <m:d>
            <m:dPr>
              <m:begChr m:val="("/>
              <m:sepChr m:val=""/>
              <m:endChr m:val=")"/>
              <m:grow/>
            </m:dPr>
            <m:e>
              <m:sSubSup>
                <m:e>
                  <m:r>
                    <m:t>k</m:t>
                  </m:r>
                </m:e>
                <m:sub>
                  <m:r>
                    <m:t>i</m:t>
                  </m:r>
                </m:sub>
                <m:sup>
                  <m:r>
                    <m:rPr>
                      <m:nor/>
                      <m:sty m:val="p"/>
                    </m:rPr>
                    <m:t>*</m:t>
                  </m:r>
                </m:sup>
              </m:sSubSup>
            </m:e>
          </m:d>
          <m:r>
            <m:rPr>
              <m:sty m:val="p"/>
            </m:rPr>
            <m:t>,</m:t>
          </m:r>
          <m:r>
            <m:t>  </m:t>
          </m:r>
          <m:sSubSup>
            <m:e>
              <m:r>
                <m:t>k</m:t>
              </m:r>
            </m:e>
            <m:sub>
              <m:r>
                <m:t>i</m:t>
              </m:r>
            </m:sub>
            <m:sup>
              <m:r>
                <m:rPr>
                  <m:nor/>
                  <m:sty m:val="p"/>
                </m:rPr>
                <m:t>*</m:t>
              </m:r>
            </m:sup>
          </m:sSubSup>
          <m:r>
            <m:rPr>
              <m:sty m:val="p"/>
            </m:rPr>
            <m:t>=</m:t>
          </m:r>
          <m:r>
            <m:rPr>
              <m:sty m:val="p"/>
            </m:rPr>
            <m:t>arg</m:t>
          </m:r>
          <m:limLow>
            <m:e>
              <m:r>
                <m:rPr>
                  <m:sty m:val="p"/>
                </m:rPr>
                <m:t>max</m:t>
              </m:r>
            </m:e>
            <m:lim>
              <m:r>
                <m:t>k</m:t>
              </m:r>
              <m:r>
                <m:rPr>
                  <m:sty m:val="p"/>
                </m:rPr>
                <m:t>∈</m:t>
              </m:r>
              <m:r>
                <m:rPr>
                  <m:sty m:val="p"/>
                </m:rPr>
                <m:t>{</m:t>
              </m:r>
              <m:r>
                <m:t>L</m:t>
              </m:r>
              <m:r>
                <m:rPr>
                  <m:sty m:val="p"/>
                </m:rPr>
                <m:t>,</m:t>
              </m:r>
              <m:r>
                <m:t>M</m:t>
              </m:r>
              <m:r>
                <m:rPr>
                  <m:sty m:val="p"/>
                </m:rPr>
                <m:t>,</m:t>
              </m:r>
              <m:r>
                <m:t>H</m:t>
              </m:r>
              <m:r>
                <m:rPr>
                  <m:sty m:val="p"/>
                </m:rPr>
                <m:t>}</m:t>
              </m:r>
            </m:lim>
          </m:limLow>
          <m:sSub>
            <m:e>
              <m:r>
                <m:t>μ</m:t>
              </m:r>
            </m:e>
            <m:sub>
              <m:r>
                <m:t>k</m:t>
              </m:r>
            </m:sub>
          </m:sSub>
          <m:r>
            <m:rPr>
              <m:sty m:val="p"/>
            </m:rPr>
            <m:t>(</m:t>
          </m:r>
          <m:sSub>
            <m:e>
              <m:r>
                <m:t>p</m:t>
              </m:r>
            </m:e>
            <m:sub>
              <m:r>
                <m:t>i</m:t>
              </m:r>
            </m:sub>
          </m:sSub>
          <m:r>
            <m:rPr>
              <m:sty m:val="p"/>
            </m:rPr>
            <m:t>)</m:t>
          </m:r>
          <m:r>
            <m:rPr>
              <m:sty m:val="p"/>
            </m:rPr>
            <m:t>,</m:t>
          </m:r>
          <m:r>
            <m:t>  </m:t>
          </m:r>
          <m:r>
            <m:rPr>
              <m:sty m:val="p"/>
            </m:rPr>
            <m:t>(</m:t>
          </m:r>
          <m:r>
            <m:t>5</m:t>
          </m:r>
          <m:r>
            <m:rPr>
              <m:sty m:val="p"/>
            </m:rPr>
            <m:t>)</m:t>
          </m:r>
        </m:oMath>
      </m:oMathPara>
    </w:p>
    <w:p>
      <w:pPr>
        <w:pStyle w:val="FirstParagraph"/>
      </w:pPr>
      <w:r>
        <w:t xml:space="preserve">where</w:t>
      </w:r>
      <w:r>
        <w:t xml:space="preserve"> </w:t>
      </w:r>
      <m:oMath>
        <m:r>
          <m:t>A</m:t>
        </m:r>
      </m:oMath>
      <w:r>
        <w:t xml:space="preserve"> </w:t>
      </w:r>
      <w:r>
        <w:t xml:space="preserve">maps</w:t>
      </w:r>
      <w:r>
        <w:t xml:space="preserve"> </w:t>
      </w:r>
      <m:oMath>
        <m:r>
          <m:t>L</m:t>
        </m:r>
      </m:oMath>
      <w:r>
        <w:t xml:space="preserve">,</w:t>
      </w:r>
      <w:r>
        <w:t xml:space="preserve"> </w:t>
      </w:r>
      <m:oMath>
        <m:r>
          <m:t>M</m:t>
        </m:r>
      </m:oMath>
      <w:r>
        <w:t xml:space="preserve"> </w:t>
      </w:r>
      <w:r>
        <w:t xml:space="preserve">and</w:t>
      </w:r>
      <w:r>
        <w:t xml:space="preserve"> </w:t>
      </w:r>
      <m:oMath>
        <m:r>
          <m:t>H</m:t>
        </m:r>
      </m:oMath>
      <w:r>
        <w:t xml:space="preserve"> </w:t>
      </w:r>
      <w:r>
        <w:t xml:space="preserve">to Monitor, Soft-block and Escalate. Logged firing strengths explain each decision: an alert with</w:t>
      </w:r>
      <w:r>
        <w:t xml:space="preserve"> </w:t>
      </w:r>
      <m:oMath>
        <m:r>
          <m:t>p</m:t>
        </m:r>
        <m:r>
          <m:rPr>
            <m:sty m:val="p"/>
          </m:rPr>
          <m:t>=</m:t>
        </m:r>
        <m:r>
          <m:t>0.60</m:t>
        </m:r>
      </m:oMath>
      <w:r>
        <w:t xml:space="preserve"> </w:t>
      </w:r>
      <w:r>
        <w:t xml:space="preserve">(</w:t>
      </w:r>
      <m:oMath>
        <m:sSub>
          <m:e>
            <m:r>
              <m:t>μ</m:t>
            </m:r>
          </m:e>
          <m:sub>
            <m:r>
              <m:t>M</m:t>
            </m:r>
          </m:sub>
        </m:sSub>
        <m:r>
          <m:rPr>
            <m:sty m:val="p"/>
          </m:rPr>
          <m:t>=</m:t>
        </m:r>
        <m:r>
          <m:t>0.71</m:t>
        </m:r>
      </m:oMath>
      <w:r>
        <w:t xml:space="preserve">,</w:t>
      </w:r>
      <w:r>
        <w:t xml:space="preserve"> </w:t>
      </w:r>
      <m:oMath>
        <m:sSub>
          <m:e>
            <m:r>
              <m:t>μ</m:t>
            </m:r>
          </m:e>
          <m:sub>
            <m:r>
              <m:t>H</m:t>
            </m:r>
          </m:sub>
        </m:sSub>
        <m:r>
          <m:rPr>
            <m:sty m:val="p"/>
          </m:rPr>
          <m:t>=</m:t>
        </m:r>
        <m:r>
          <m:t>0.11</m:t>
        </m:r>
      </m:oMath>
      <w:r>
        <w:t xml:space="preserve">) is soft-blocked. Actions switch at</w:t>
      </w:r>
      <w:r>
        <w:t xml:space="preserve"> </w:t>
      </w:r>
      <m:oMath>
        <m:r>
          <m:t>p</m:t>
        </m:r>
        <m:r>
          <m:rPr>
            <m:sty m:val="p"/>
          </m:rPr>
          <m:t>=</m:t>
        </m:r>
        <m:r>
          <m:t>9</m:t>
        </m:r>
        <m:r>
          <m:rPr>
            <m:sty m:val="p"/>
          </m:rPr>
          <m:t>/</m:t>
        </m:r>
        <m:r>
          <m:t>32</m:t>
        </m:r>
        <m:r>
          <m:rPr>
            <m:sty m:val="p"/>
          </m:rPr>
          <m:t>=</m:t>
        </m:r>
        <m:r>
          <m:t>0.281</m:t>
        </m:r>
      </m:oMath>
      <w:r>
        <w:t xml:space="preserve"> </w:t>
      </w:r>
      <w:r>
        <w:t xml:space="preserve">and</w:t>
      </w:r>
      <w:r>
        <w:t xml:space="preserve"> </w:t>
      </w:r>
      <m:oMath>
        <m:r>
          <m:t>p</m:t>
        </m:r>
        <m:r>
          <m:rPr>
            <m:sty m:val="p"/>
          </m:rPr>
          <m:t>=</m:t>
        </m:r>
        <m:r>
          <m:t>23</m:t>
        </m:r>
        <m:r>
          <m:rPr>
            <m:sty m:val="p"/>
          </m:rPr>
          <m:t>/</m:t>
        </m:r>
        <m:r>
          <m:t>32</m:t>
        </m:r>
        <m:r>
          <m:rPr>
            <m:sty m:val="p"/>
          </m:rPr>
          <m:t>=</m:t>
        </m:r>
        <m:r>
          <m:t>0.719</m:t>
        </m:r>
      </m:oMath>
      <w:r>
        <w:t xml:space="preserve">, where</w:t>
      </w:r>
      <w:r>
        <w:t xml:space="preserve"> </w:t>
      </w:r>
      <m:oMath>
        <m:sSub>
          <m:e>
            <m:r>
              <m:t>μ</m:t>
            </m:r>
          </m:e>
          <m:sub>
            <m:r>
              <m:t>L</m:t>
            </m:r>
          </m:sub>
        </m:sSub>
        <m:r>
          <m:rPr>
            <m:sty m:val="p"/>
          </m:rPr>
          <m:t>=</m:t>
        </m:r>
        <m:sSub>
          <m:e>
            <m:r>
              <m:t>μ</m:t>
            </m:r>
          </m:e>
          <m:sub>
            <m:r>
              <m:t>M</m:t>
            </m:r>
          </m:sub>
        </m:sSub>
      </m:oMath>
      <w:r>
        <w:t xml:space="preserve"> </w:t>
      </w:r>
      <w:r>
        <w:t xml:space="preserve">and</w:t>
      </w:r>
      <w:r>
        <w:t xml:space="preserve"> </w:t>
      </w:r>
      <m:oMath>
        <m:sSub>
          <m:e>
            <m:r>
              <m:t>μ</m:t>
            </m:r>
          </m:e>
          <m:sub>
            <m:r>
              <m:t>M</m:t>
            </m:r>
          </m:sub>
        </m:sSub>
        <m:r>
          <m:rPr>
            <m:sty m:val="p"/>
          </m:rPr>
          <m:t>=</m:t>
        </m:r>
        <m:sSub>
          <m:e>
            <m:r>
              <m:t>μ</m:t>
            </m:r>
          </m:e>
          <m:sub>
            <m:r>
              <m:t>H</m:t>
            </m:r>
          </m:sub>
        </m:sSub>
      </m:oMath>
      <w:r>
        <w:t xml:space="preserve"> </w:t>
      </w:r>
      <w:r>
        <w:t xml:space="preserve">(Fig. 1). The breakpoints were set by expert judgement before the test data were examined.</w:t>
      </w:r>
    </w:p>
    <w:p>
      <w:pPr>
        <w:pStyle w:val="CaptionedFigure"/>
      </w:pPr>
      <w:r>
        <w:drawing>
          <wp:inline>
            <wp:extent cx="5943600" cy="2829802"/>
            <wp:effectExtent b="0" l="0" r="0" t="0"/>
            <wp:docPr descr="Fig. 1. Fuzzy mapping from attack propensity to action (seed-42 test set). Rules R1–R3 switch action at p = 9/32 and 23/32 (dotted); dashed: Bayes soft-block threshold p = 2/11. The Soft-block band (776 alerts, 3.9%) yields the entire cost gain over the 0.5 threshold." title="" id="12" name="Picture"/>
            <a:graphic>
              <a:graphicData uri="http://schemas.openxmlformats.org/drawingml/2006/picture">
                <pic:pic>
                  <pic:nvPicPr>
                    <pic:cNvPr descr="figures/fig1_decision_bands.png" id="13" name="Picture"/>
                    <pic:cNvPicPr>
                      <a:picLocks noChangeArrowheads="1" noChangeAspect="1"/>
                    </pic:cNvPicPr>
                  </pic:nvPicPr>
                  <pic:blipFill>
                    <a:blip r:embed="rId11"/>
                    <a:stretch>
                      <a:fillRect/>
                    </a:stretch>
                  </pic:blipFill>
                  <pic:spPr bwMode="auto">
                    <a:xfrm>
                      <a:off x="0" y="0"/>
                      <a:ext cx="5943600" cy="2829802"/>
                    </a:xfrm>
                    <a:prstGeom prst="rect">
                      <a:avLst/>
                    </a:prstGeom>
                    <a:noFill/>
                    <a:ln w="9525">
                      <a:noFill/>
                      <a:headEnd/>
                      <a:tailEnd/>
                    </a:ln>
                  </pic:spPr>
                </pic:pic>
              </a:graphicData>
            </a:graphic>
          </wp:inline>
        </w:drawing>
      </w:r>
    </w:p>
    <w:p>
      <w:pPr>
        <w:pStyle w:val="ImageCaption"/>
      </w:pPr>
      <w:r>
        <w:rPr>
          <w:b/>
          <w:bCs/>
        </w:rPr>
        <w:t xml:space="preserve">Fig. 1.</w:t>
      </w:r>
      <w:r>
        <w:t xml:space="preserve"> </w:t>
      </w:r>
      <w:r>
        <w:t xml:space="preserve">Fuzzy mapping from attack propensity to action (seed-42 test set). Rules</w:t>
      </w:r>
      <w:r>
        <w:t xml:space="preserve"> </w:t>
      </w:r>
      <w:r>
        <w:rPr>
          <w:i/>
          <w:iCs/>
        </w:rPr>
        <w:t xml:space="preserve">R</w:t>
      </w:r>
      <w:r>
        <w:rPr>
          <w:vertAlign w:val="subscript"/>
        </w:rPr>
        <w:t xml:space="preserve">1</w:t>
      </w:r>
      <w:r>
        <w:t xml:space="preserve">–</w:t>
      </w:r>
      <w:r>
        <w:rPr>
          <w:i/>
          <w:iCs/>
        </w:rPr>
        <w:t xml:space="preserve">R</w:t>
      </w:r>
      <w:r>
        <w:rPr>
          <w:vertAlign w:val="subscript"/>
        </w:rPr>
        <w:t xml:space="preserve">3</w:t>
      </w:r>
      <w:r>
        <w:t xml:space="preserve"> </w:t>
      </w:r>
      <w:r>
        <w:t xml:space="preserve">switch action at</w:t>
      </w:r>
      <w:r>
        <w:t xml:space="preserve"> </w:t>
      </w:r>
      <w:r>
        <w:rPr>
          <w:i/>
          <w:iCs/>
        </w:rPr>
        <w:t xml:space="preserve">p</w:t>
      </w:r>
      <w:r>
        <w:t xml:space="preserve"> </w:t>
      </w:r>
      <w:r>
        <w:t xml:space="preserve">= 9/32 and 23/32 (dotted); dashed: Bayes soft-block threshold</w:t>
      </w:r>
      <w:r>
        <w:t xml:space="preserve"> </w:t>
      </w:r>
      <w:r>
        <w:rPr>
          <w:i/>
          <w:iCs/>
        </w:rPr>
        <w:t xml:space="preserve">p</w:t>
      </w:r>
      <w:r>
        <w:t xml:space="preserve"> </w:t>
      </w:r>
      <w:r>
        <w:t xml:space="preserve">= 2/11. The Soft-block band (776 alerts, 3.9%) yields the entire cost gain over the 0.5 threshold.</w:t>
      </w:r>
    </w:p>
    <w:p>
      <w:pPr>
        <w:pStyle w:val="BodyText"/>
      </w:pPr>
      <w:r>
        <w:rPr>
          <w:i/>
          <w:iCs/>
        </w:rPr>
        <w:t xml:space="preserve">Cost model and decision metrics.</w:t>
      </w:r>
      <w:r>
        <w:t xml:space="preserve"> </w:t>
      </w:r>
      <w:r>
        <w:t xml:space="preserve">Actions are scored with the relative cost matrix</w:t>
      </w:r>
    </w:p>
    <w:p>
      <w:pPr>
        <w:pStyle w:val="BodyText"/>
      </w:pPr>
      <m:oMathPara>
        <m:oMathParaPr>
          <m:jc m:val="center"/>
        </m:oMathParaPr>
        <m:oMath>
          <m:m>
            <m:mPr>
              <m:baseJc m:val="center"/>
              <m:plcHide m:val="on"/>
              <m:mcs>
                <m:mc>
                  <m:mcPr>
                    <m:mcJc m:val="left"/>
                    <m:count m:val="1"/>
                  </m:mcPr>
                </m:mc>
                <m:mc>
                  <m:mcPr>
                    <m:mcJc m:val="left"/>
                    <m:count m:val="1"/>
                  </m:mcPr>
                </m:mc>
              </m:mcs>
            </m:mPr>
            <m:mr>
              <m:e>
                <m:r>
                  <m:t>C</m:t>
                </m:r>
                <m:r>
                  <m:rPr>
                    <m:sty m:val="p"/>
                  </m:rPr>
                  <m:t>(</m:t>
                </m:r>
                <m:r>
                  <m:rPr>
                    <m:nor/>
                    <m:sty m:val="p"/>
                  </m:rPr>
                  <m:t>Monitor</m:t>
                </m:r>
                <m:r>
                  <m:rPr>
                    <m:sty m:val="p"/>
                  </m:rPr>
                  <m:t>,</m:t>
                </m:r>
                <m:r>
                  <m:t>y</m:t>
                </m:r>
                <m:r>
                  <m:rPr>
                    <m:sty m:val="p"/>
                  </m:rPr>
                  <m:t>)</m:t>
                </m:r>
                <m:r>
                  <m:rPr>
                    <m:sty m:val="p"/>
                  </m:rPr>
                  <m:t>=</m:t>
                </m:r>
                <m:sSub>
                  <m:e>
                    <m:r>
                      <m:t>C</m:t>
                    </m:r>
                  </m:e>
                  <m:sub>
                    <m:r>
                      <m:t>F</m:t>
                    </m:r>
                    <m:r>
                      <m:t>N</m:t>
                    </m:r>
                  </m:sub>
                </m:sSub>
                <m:r>
                  <m:t> </m:t>
                </m:r>
                <m:r>
                  <m:t>y</m:t>
                </m:r>
                <m:r>
                  <m:rPr>
                    <m:sty m:val="p"/>
                  </m:rPr>
                  <m:t>,</m:t>
                </m:r>
              </m:e>
              <m:e>
                <m:r>
                  <m:t>C</m:t>
                </m:r>
                <m:r>
                  <m:rPr>
                    <m:sty m:val="p"/>
                  </m:rPr>
                  <m:t>(</m:t>
                </m:r>
                <m:r>
                  <m:rPr>
                    <m:nor/>
                    <m:sty m:val="p"/>
                  </m:rPr>
                  <m:t>Soft-block</m:t>
                </m:r>
                <m:r>
                  <m:rPr>
                    <m:sty m:val="p"/>
                  </m:rPr>
                  <m:t>,</m:t>
                </m:r>
                <m:r>
                  <m:t>y</m:t>
                </m:r>
                <m:r>
                  <m:rPr>
                    <m:sty m:val="p"/>
                  </m:rPr>
                  <m:t>)</m:t>
                </m:r>
                <m:r>
                  <m:rPr>
                    <m:sty m:val="p"/>
                  </m:rPr>
                  <m:t>=</m:t>
                </m:r>
                <m:r>
                  <m:t>1</m:t>
                </m:r>
                <m:r>
                  <m:rPr>
                    <m:sty m:val="p"/>
                  </m:rPr>
                  <m:t>+</m:t>
                </m:r>
                <m:r>
                  <m:rPr>
                    <m:sty m:val="p"/>
                  </m:rPr>
                  <m:t>(</m:t>
                </m:r>
                <m:r>
                  <m:t>1</m:t>
                </m:r>
                <m:r>
                  <m:rPr>
                    <m:sty m:val="p"/>
                  </m:rPr>
                  <m:t>−</m:t>
                </m:r>
                <m:r>
                  <m:t>y</m:t>
                </m:r>
                <m:r>
                  <m:rPr>
                    <m:sty m:val="p"/>
                  </m:rPr>
                  <m:t>)</m:t>
                </m:r>
                <m:r>
                  <m:rPr>
                    <m:sty m:val="p"/>
                  </m:rPr>
                  <m:t>,</m:t>
                </m:r>
              </m:e>
            </m:mr>
            <m:mr>
              <m:e>
                <m:r>
                  <m:t>C</m:t>
                </m:r>
                <m:r>
                  <m:rPr>
                    <m:sty m:val="p"/>
                  </m:rPr>
                  <m:t>(</m:t>
                </m:r>
                <m:r>
                  <m:rPr>
                    <m:nor/>
                    <m:sty m:val="p"/>
                  </m:rPr>
                  <m:t>Escalate</m:t>
                </m:r>
                <m:r>
                  <m:rPr>
                    <m:sty m:val="p"/>
                  </m:rPr>
                  <m:t>,</m:t>
                </m:r>
                <m:r>
                  <m:t>y</m:t>
                </m:r>
                <m:r>
                  <m:rPr>
                    <m:sty m:val="p"/>
                  </m:rPr>
                  <m:t>)</m:t>
                </m:r>
                <m:r>
                  <m:rPr>
                    <m:sty m:val="p"/>
                  </m:rPr>
                  <m:t>=</m:t>
                </m:r>
                <m:r>
                  <m:t>3</m:t>
                </m:r>
                <m:r>
                  <m:rPr>
                    <m:sty m:val="p"/>
                  </m:rPr>
                  <m:t>+</m:t>
                </m:r>
                <m:r>
                  <m:t>3</m:t>
                </m:r>
                <m:r>
                  <m:rPr>
                    <m:sty m:val="p"/>
                  </m:rPr>
                  <m:t>(</m:t>
                </m:r>
                <m:r>
                  <m:t>1</m:t>
                </m:r>
                <m:r>
                  <m:rPr>
                    <m:sty m:val="p"/>
                  </m:rPr>
                  <m:t>−</m:t>
                </m:r>
                <m:r>
                  <m:t>y</m:t>
                </m:r>
                <m:r>
                  <m:rPr>
                    <m:sty m:val="p"/>
                  </m:rPr>
                  <m:t>)</m:t>
                </m:r>
                <m:r>
                  <m:rPr>
                    <m:sty m:val="p"/>
                  </m:rPr>
                  <m:t>,</m:t>
                </m:r>
              </m:e>
              <m:e>
                <m:sSub>
                  <m:e>
                    <m:r>
                      <m:t>C</m:t>
                    </m:r>
                  </m:e>
                  <m:sub>
                    <m:r>
                      <m:t>F</m:t>
                    </m:r>
                    <m:r>
                      <m:t>N</m:t>
                    </m:r>
                  </m:sub>
                </m:sSub>
                <m:r>
                  <m:rPr>
                    <m:sty m:val="p"/>
                  </m:rPr>
                  <m:t>=</m:t>
                </m:r>
                <m:r>
                  <m:t>10</m:t>
                </m:r>
                <m:r>
                  <m:rPr>
                    <m:sty m:val="p"/>
                  </m:rPr>
                  <m:t>.</m:t>
                </m:r>
              </m:e>
            </m:mr>
          </m:m>
          <m:r>
            <m:t>  </m:t>
          </m:r>
          <m:r>
            <m:rPr>
              <m:sty m:val="p"/>
            </m:rPr>
            <m:t>(</m:t>
          </m:r>
          <m:r>
            <m:t>6</m:t>
          </m:r>
          <m:r>
            <m:rPr>
              <m:sty m:val="p"/>
            </m:rPr>
            <m:t>)</m:t>
          </m:r>
        </m:oMath>
      </m:oMathPara>
    </w:p>
    <w:p>
      <w:pPr>
        <w:pStyle w:val="FirstParagraph"/>
      </w:pPr>
      <w:r>
        <w:t xml:space="preserve">Policies are compared by the mean triage cost</w:t>
      </w:r>
      <w:r>
        <w:t xml:space="preserve"> </w:t>
      </w:r>
      <m:oMath>
        <m:bar>
          <m:barPr>
            <m:pos m:val="top"/>
          </m:barPr>
          <m:e>
            <m:r>
              <m:t>C</m:t>
            </m:r>
          </m:e>
        </m:bar>
        <m:r>
          <m:rPr>
            <m:sty m:val="p"/>
          </m:rPr>
          <m:t>=</m:t>
        </m:r>
        <m:r>
          <m:rPr>
            <m:sty m:val="p"/>
          </m:rPr>
          <m:t>(</m:t>
        </m:r>
        <m:r>
          <m:t>1</m:t>
        </m:r>
        <m:r>
          <m:rPr>
            <m:sty m:val="p"/>
          </m:rPr>
          <m:t>/</m:t>
        </m:r>
        <m:r>
          <m:t>N</m:t>
        </m:r>
        <m:r>
          <m:rPr>
            <m:sty m:val="p"/>
          </m:rPr>
          <m:t>)</m:t>
        </m:r>
        <m:nary>
          <m:naryPr>
            <m:chr m:val="∑"/>
            <m:limLoc m:val="undOvr"/>
            <m:subHide m:val="off"/>
            <m:supHide m:val="on"/>
          </m:naryPr>
          <m:sub>
            <m:r>
              <m:t>i</m:t>
            </m:r>
          </m:sub>
          <m:sup>
            <m:r>
              <m:t>​</m:t>
            </m:r>
          </m:sup>
          <m:e>
            <m:r>
              <m:t>C</m:t>
            </m:r>
          </m:e>
        </m:nary>
        <m:r>
          <m:rPr>
            <m:sty m:val="p"/>
          </m:rPr>
          <m:t>(</m:t>
        </m:r>
        <m:sSub>
          <m:e>
            <m:r>
              <m:t>a</m:t>
            </m:r>
          </m:e>
          <m:sub>
            <m:r>
              <m:t>i</m:t>
            </m:r>
          </m:sub>
        </m:sSub>
        <m:r>
          <m:rPr>
            <m:sty m:val="p"/>
          </m:rPr>
          <m:t>,</m:t>
        </m:r>
        <m:sSub>
          <m:e>
            <m:r>
              <m:t>y</m:t>
            </m:r>
          </m:e>
          <m:sub>
            <m:r>
              <m:t>i</m:t>
            </m:r>
          </m:sub>
        </m:sSub>
        <m:r>
          <m:rPr>
            <m:sty m:val="p"/>
          </m:rPr>
          <m:t>)</m:t>
        </m:r>
      </m:oMath>
      <w:r>
        <w:t xml:space="preserve">, the attack coverage</w:t>
      </w:r>
      <w:r>
        <w:t xml:space="preserve"> </w:t>
      </w:r>
      <m:oMath>
        <m:nary>
          <m:naryPr>
            <m:chr m:val="∑"/>
            <m:limLoc m:val="undOvr"/>
            <m:subHide m:val="off"/>
            <m:supHide m:val="on"/>
          </m:naryPr>
          <m:sub>
            <m:r>
              <m:t>i</m:t>
            </m:r>
          </m:sub>
          <m:sup>
            <m:r>
              <m:t>​</m:t>
            </m:r>
          </m:sup>
          <m:e>
            <m:r>
              <m:rPr>
                <m:sty m:val="b"/>
              </m:rPr>
              <m:t>1</m:t>
            </m:r>
          </m:e>
        </m:nary>
        <m:r>
          <m:rPr>
            <m:sty m:val="p"/>
          </m:rPr>
          <m:t>[</m:t>
        </m:r>
        <m:sSub>
          <m:e>
            <m:r>
              <m:t>a</m:t>
            </m:r>
          </m:e>
          <m:sub>
            <m:r>
              <m:t>i</m:t>
            </m:r>
          </m:sub>
        </m:sSub>
        <m:r>
          <m:rPr>
            <m:sty m:val="p"/>
          </m:rPr>
          <m:t>≠</m:t>
        </m:r>
        <m:r>
          <m:rPr>
            <m:nor/>
            <m:sty m:val="p"/>
          </m:rPr>
          <m:t>Monitor</m:t>
        </m:r>
        <m:r>
          <m:rPr>
            <m:sty m:val="p"/>
          </m:rPr>
          <m:t>]</m:t>
        </m:r>
        <m:r>
          <m:t> </m:t>
        </m:r>
        <m:sSub>
          <m:e>
            <m:r>
              <m:t>y</m:t>
            </m:r>
          </m:e>
          <m:sub>
            <m:r>
              <m:t>i</m:t>
            </m:r>
          </m:sub>
        </m:sSub>
        <m:r>
          <m:rPr>
            <m:sty m:val="p"/>
          </m:rPr>
          <m:t>/</m:t>
        </m:r>
        <m:nary>
          <m:naryPr>
            <m:chr m:val="∑"/>
            <m:limLoc m:val="undOvr"/>
            <m:subHide m:val="off"/>
            <m:supHide m:val="on"/>
          </m:naryPr>
          <m:sub>
            <m:r>
              <m:t>i</m:t>
            </m:r>
          </m:sub>
          <m:sup>
            <m:r>
              <m:t>​</m:t>
            </m:r>
          </m:sup>
          <m:e>
            <m:sSub>
              <m:e>
                <m:r>
                  <m:t>y</m:t>
                </m:r>
              </m:e>
              <m:sub>
                <m:r>
                  <m:t>i</m:t>
                </m:r>
              </m:sub>
            </m:sSub>
          </m:e>
        </m:nary>
      </m:oMath>
      <w:r>
        <w:t xml:space="preserve"> </w:t>
      </w:r>
      <w:r>
        <w:t xml:space="preserve">and the number of unnecessary escalations (UE), that is, benign alerts sent to an analyst. As a reference, we report the plug-in Bayes cost rule</w:t>
      </w:r>
    </w:p>
    <w:p>
      <w:pPr>
        <w:pStyle w:val="BodyText"/>
      </w:pPr>
      <m:oMathPara>
        <m:oMathParaPr>
          <m:jc m:val="center"/>
        </m:oMathParaPr>
        <m:oMath>
          <m:sSubSup>
            <m:e>
              <m:r>
                <m:t>a</m:t>
              </m:r>
            </m:e>
            <m:sub>
              <m:r>
                <m:t>i</m:t>
              </m:r>
            </m:sub>
            <m:sup>
              <m:r>
                <m:t>B</m:t>
              </m:r>
            </m:sup>
          </m:sSubSup>
          <m:r>
            <m:rPr>
              <m:sty m:val="p"/>
            </m:rPr>
            <m:t>=</m:t>
          </m:r>
          <m:r>
            <m:rPr>
              <m:sty m:val="p"/>
            </m:rPr>
            <m:t>arg</m:t>
          </m:r>
          <m:limLow>
            <m:e>
              <m:r>
                <m:rPr>
                  <m:sty m:val="p"/>
                </m:rPr>
                <m:t>min</m:t>
              </m:r>
            </m:e>
            <m:lim>
              <m:r>
                <m:t>a</m:t>
              </m:r>
            </m:lim>
          </m:limLow>
          <m:r>
            <m:t> </m:t>
          </m:r>
          <m:d>
            <m:dPr>
              <m:begChr m:val="["/>
              <m:sepChr m:val=""/>
              <m:endChr m:val="]"/>
              <m:grow/>
            </m:dPr>
            <m:e>
              <m:r>
                <m:rPr>
                  <m:sty m:val="p"/>
                </m:rPr>
                <m:t>(</m:t>
              </m:r>
              <m:r>
                <m:t>1</m:t>
              </m:r>
              <m:r>
                <m:rPr>
                  <m:sty m:val="p"/>
                </m:rPr>
                <m:t>−</m:t>
              </m:r>
              <m:sSub>
                <m:e>
                  <m:r>
                    <m:t>p</m:t>
                  </m:r>
                </m:e>
                <m:sub>
                  <m:r>
                    <m:t>i</m:t>
                  </m:r>
                </m:sub>
              </m:sSub>
              <m:r>
                <m:rPr>
                  <m:sty m:val="p"/>
                </m:rPr>
                <m:t>)</m:t>
              </m:r>
              <m:r>
                <m:t> </m:t>
              </m:r>
              <m:r>
                <m:t>C</m:t>
              </m:r>
              <m:r>
                <m:rPr>
                  <m:sty m:val="p"/>
                </m:rPr>
                <m:t>(</m:t>
              </m:r>
              <m:r>
                <m:t>a</m:t>
              </m:r>
              <m:r>
                <m:rPr>
                  <m:sty m:val="p"/>
                </m:rPr>
                <m:t>,</m:t>
              </m:r>
              <m:r>
                <m:t>0</m:t>
              </m:r>
              <m:r>
                <m:rPr>
                  <m:sty m:val="p"/>
                </m:rPr>
                <m:t>)</m:t>
              </m:r>
              <m:r>
                <m:rPr>
                  <m:sty m:val="p"/>
                </m:rPr>
                <m:t>+</m:t>
              </m:r>
              <m:sSub>
                <m:e>
                  <m:r>
                    <m:t>p</m:t>
                  </m:r>
                </m:e>
                <m:sub>
                  <m:r>
                    <m:t>i</m:t>
                  </m:r>
                </m:sub>
              </m:sSub>
              <m:r>
                <m:t> </m:t>
              </m:r>
              <m:r>
                <m:t>C</m:t>
              </m:r>
              <m:r>
                <m:rPr>
                  <m:sty m:val="p"/>
                </m:rPr>
                <m:t>(</m:t>
              </m:r>
              <m:r>
                <m:t>a</m:t>
              </m:r>
              <m:r>
                <m:rPr>
                  <m:sty m:val="p"/>
                </m:rPr>
                <m:t>,</m:t>
              </m:r>
              <m:r>
                <m:t>1</m:t>
              </m:r>
              <m:r>
                <m:rPr>
                  <m:sty m:val="p"/>
                </m:rPr>
                <m:t>)</m:t>
              </m:r>
            </m:e>
          </m:d>
          <m:r>
            <m:rPr>
              <m:sty m:val="p"/>
            </m:rPr>
            <m:t>.</m:t>
          </m:r>
          <m:r>
            <m:t>  </m:t>
          </m:r>
          <m:r>
            <m:rPr>
              <m:sty m:val="p"/>
            </m:rPr>
            <m:t>(</m:t>
          </m:r>
          <m:r>
            <m:t>7</m:t>
          </m:r>
          <m:r>
            <m:rPr>
              <m:sty m:val="p"/>
            </m:rPr>
            <m:t>)</m:t>
          </m:r>
        </m:oMath>
      </m:oMathPara>
    </w:p>
    <w:p>
      <w:pPr>
        <w:pStyle w:val="FirstParagraph"/>
      </w:pPr>
      <w:r>
        <w:t xml:space="preserve">which treats</w:t>
      </w:r>
      <w:r>
        <w:t xml:space="preserve"> </w:t>
      </w:r>
      <m:oMath>
        <m:sSub>
          <m:e>
            <m:r>
              <m:t>p</m:t>
            </m:r>
          </m:e>
          <m:sub>
            <m:r>
              <m:t>i</m:t>
            </m:r>
          </m:sub>
        </m:sSub>
      </m:oMath>
      <w:r>
        <w:t xml:space="preserve"> </w:t>
      </w:r>
      <w:r>
        <w:t xml:space="preserve">as calibrated, although deep-model scores do not guarantee calibration [20]. Because soft-blocking is cheaper than escalation for both classes, this rule never escalates and soft-blocks every alert with</w:t>
      </w:r>
      <w:r>
        <w:t xml:space="preserve"> </w:t>
      </w:r>
      <m:oMath>
        <m:sSub>
          <m:e>
            <m:r>
              <m:t>p</m:t>
            </m:r>
          </m:e>
          <m:sub>
            <m:r>
              <m:t>i</m:t>
            </m:r>
          </m:sub>
        </m:sSub>
        <m:r>
          <m:rPr>
            <m:sty m:val="p"/>
          </m:rPr>
          <m:t>&gt;</m:t>
        </m:r>
        <m:r>
          <m:t>2</m:t>
        </m:r>
        <m:r>
          <m:rPr>
            <m:sty m:val="p"/>
          </m:rPr>
          <m:t>/</m:t>
        </m:r>
        <m:r>
          <m:t>11</m:t>
        </m:r>
      </m:oMath>
      <w:r>
        <w:t xml:space="preserve">.</w:t>
      </w:r>
    </w:p>
    <w:bookmarkEnd w:id="14"/>
    <w:bookmarkStart w:id="15" w:name="experimental-design"/>
    <w:p>
      <w:pPr>
        <w:pStyle w:val="Heading1"/>
      </w:pPr>
      <w:r>
        <w:t xml:space="preserve">3. Experimental design</w:t>
      </w:r>
    </w:p>
    <w:p>
      <w:pPr>
        <w:pStyle w:val="FirstParagraph"/>
      </w:pPr>
      <w:r>
        <w:rPr>
          <w:i/>
          <w:iCs/>
        </w:rPr>
        <w:t xml:space="preserve">Data.</w:t>
      </w:r>
      <w:r>
        <w:t xml:space="preserve"> </w:t>
      </w:r>
      <w:r>
        <w:t xml:space="preserve">We used the NSL-KDD benchmark [21]. 40,000 training records were sampled and split, with stratification, into 34,000 training and 6,000 validation records, and the scaler and encoder were fitted on the training split only. The test set was capped at 20,000 records (attack rate 0.568) and contains attack types absent from training.</w:t>
      </w:r>
    </w:p>
    <w:p>
      <w:pPr>
        <w:pStyle w:val="BodyText"/>
      </w:pPr>
      <w:r>
        <w:rPr>
          <w:i/>
          <w:iCs/>
        </w:rPr>
        <w:t xml:space="preserve">Baselines.</w:t>
      </w:r>
      <w:r>
        <w:t xml:space="preserve"> </w:t>
      </w:r>
      <w:r>
        <w:t xml:space="preserve">The detectors were class-balanced logistic regression, gradient boosting (GB) [22] with scikit-learn defaults, and the MLP alone. The proposed policy uses the MLP propensity, so any benefit comes from better decisions rather than better scores. Three decision baselines acted on the same scores: a 0.5 threshold that escalates alerts above it and monitors the rest, the same threshold tuned on validation data to minimise cost (threshold moving [17]), and escalation of the 20% highest-scored alerts, which mimics a fixed analyst capacity.</w:t>
      </w:r>
    </w:p>
    <w:p>
      <w:pPr>
        <w:pStyle w:val="BodyText"/>
      </w:pPr>
      <w:r>
        <w:rPr>
          <w:i/>
          <w:iCs/>
        </w:rPr>
        <w:t xml:space="preserve">Statistics.</w:t>
      </w:r>
      <w:r>
        <w:t xml:space="preserve"> </w:t>
      </w:r>
      <w:r>
        <w:t xml:space="preserve">On the seed-42 test set, percentile 95% confidence intervals (CIs) come from 2,000 paired bootstrap resamples [23], and per-alert cost differences were tested with the two-sided Wilcoxon signed-rank test [24], which treats alerts as independent. The pipeline was repeated for seeds 42–51, with seed-level costs compared by a paired Wilcoxon test. Sensitivity sweeps varied</w:t>
      </w:r>
      <w:r>
        <w:t xml:space="preserve"> </w:t>
      </w:r>
      <m:oMath>
        <m:sSub>
          <m:e>
            <m:r>
              <m:t>C</m:t>
            </m:r>
          </m:e>
          <m:sub>
            <m:r>
              <m:t>F</m:t>
            </m:r>
            <m:r>
              <m:t>N</m:t>
            </m:r>
          </m:sub>
        </m:sSub>
      </m:oMath>
      <w:r>
        <w:t xml:space="preserve"> </w:t>
      </w:r>
      <w:r>
        <w:t xml:space="preserve">and the Medium half-width.</w:t>
      </w:r>
    </w:p>
    <w:bookmarkEnd w:id="15"/>
    <w:bookmarkStart w:id="19" w:name="results-and-discussion"/>
    <w:p>
      <w:pPr>
        <w:pStyle w:val="Heading1"/>
      </w:pPr>
      <w:r>
        <w:t xml:space="preserve">4. Results and discussion</w:t>
      </w:r>
    </w:p>
    <w:p>
      <w:pPr>
        <w:pStyle w:val="TableCaption"/>
      </w:pPr>
      <w:r>
        <w:rPr>
          <w:b/>
          <w:bCs/>
        </w:rPr>
        <w:t xml:space="preserve">Table 2.</w:t>
      </w:r>
      <w:r>
        <w:t xml:space="preserve"> </w:t>
      </w:r>
      <w:r>
        <w:t xml:space="preserve">Main results on the seed-42 test set (</w:t>
      </w:r>
      <w:r>
        <w:rPr>
          <w:i/>
          <w:iCs/>
        </w:rPr>
        <w:t xml:space="preserve">N</w:t>
      </w:r>
      <w:r>
        <w:t xml:space="preserve"> </w:t>
      </w:r>
      <w:r>
        <w:t xml:space="preserve">= 20,000 alerts).</w:t>
      </w:r>
    </w:p>
    <w:tbl>
      <w:tblPr>
        <w:tblLayout w:type="fixed"/>
        <w:tblLook w:firstRow="1" w:lastRow="0" w:firstColumn="0" w:lastColumn="0" w:noHBand="0" w:noVBand="0" w:val="0020"/>
        <w:tblCaption w:val="Table 2. Main results on the seed-42 test set (N = 20,000 alerts)."/>
        <w:tblW w:w="9360" w:type="dxa"/>
        <w:tblCellMar>
          <w:left w:w="60" w:type="dxa"/>
          <w:right w:w="60" w:type="dxa"/>
        </w:tblCellMar>
        <w:tblLayout w:type="fixed"/>
        <w:jc w:val="center"/>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015"/>
        <w:gridCol w:w="748"/>
        <w:gridCol w:w="1224"/>
        <w:gridCol w:w="1224"/>
        <w:gridCol w:w="979"/>
        <w:gridCol w:w="1036"/>
        <w:gridCol w:w="892"/>
        <w:gridCol w:w="1238"/>
      </w:tblGrid>
      <w:tr>
        <w:trPr>
          <w:cantSplit/>
        </w:trPr>
        <w:tc>
          <w:tcPr>
            <w:tcW w:type="dxa" w:w="9360"/>
            <w:gridSpan w:val="8"/>
          </w:tcPr>
          <w:p>
            <w:pPr>
              <w:pStyle w:val="Compact"/>
              <w:keepNext/>
              <w:spacing w:before="20" w:after="20" w:line="240" w:lineRule="auto"/>
              <w:jc w:val="left"/>
            </w:pPr>
            <w:r>
              <w:rPr>
                <w:rFonts w:ascii="Times New Roman" w:hAnsi="Times New Roman"/>
                <w:b w:val="0"/>
                <w:i/>
                <w:iCs/>
                <w:sz w:val="17"/>
              </w:rPr>
              <w:t xml:space="preserve">Panel A. Detector quality (threshold 0.5 for accuracy and F1)</w:t>
            </w:r>
          </w:p>
        </w:tc>
      </w:tr>
      <w:tr>
        <w:trPr>
          <w:cantSplit/>
        </w:trPr>
        <w:tc>
          <w:tcPr>
            <w:tcW w:type="dxa" w:w="2016"/>
            <w:tcBorders>
              <w:bottom w:val="single" w:sz="6" w:space="0" w:color="000000"/>
            </w:tcBorders>
          </w:tcPr>
          <w:p>
            <w:pPr>
              <w:pStyle w:val="Compact"/>
              <w:keepNext/>
              <w:spacing w:before="20" w:after="20" w:line="240" w:lineRule="auto"/>
              <w:jc w:val="left"/>
            </w:pPr>
            <w:r>
              <w:rPr>
                <w:rFonts w:ascii="Times New Roman" w:hAnsi="Times New Roman"/>
                <w:b/>
                <w:sz w:val="17"/>
              </w:rPr>
              <w:t>Detector</w:t>
            </w:r>
          </w:p>
        </w:tc>
        <w:tc>
          <w:tcPr>
            <w:tcW w:type="dxa" w:w="749"/>
            <w:tcBorders>
              <w:bottom w:val="single" w:sz="6" w:space="0" w:color="000000"/>
            </w:tcBorders>
          </w:tcPr>
          <w:p>
            <w:pPr>
              <w:pStyle w:val="Compact"/>
              <w:keepNext/>
              <w:spacing w:before="20" w:after="20" w:line="240" w:lineRule="auto"/>
              <w:jc w:val="center"/>
            </w:pPr>
          </w:p>
        </w:tc>
        <w:tc>
          <w:tcPr>
            <w:tcW w:type="dxa" w:w="1224"/>
            <w:tcBorders>
              <w:bottom w:val="single" w:sz="6" w:space="0" w:color="000000"/>
            </w:tcBorders>
          </w:tcPr>
          <w:p>
            <w:pPr>
              <w:pStyle w:val="Compact"/>
              <w:keepNext/>
              <w:spacing w:before="20" w:after="20" w:line="240" w:lineRule="auto"/>
              <w:jc w:val="center"/>
            </w:pPr>
            <w:r>
              <w:rPr>
                <w:rFonts w:ascii="Times New Roman" w:hAnsi="Times New Roman"/>
                <w:b/>
                <w:sz w:val="17"/>
              </w:rPr>
              <w:t>Accuracy</w:t>
            </w:r>
          </w:p>
        </w:tc>
        <w:tc>
          <w:tcPr>
            <w:tcW w:type="dxa" w:w="1224"/>
            <w:tcBorders>
              <w:bottom w:val="single" w:sz="6" w:space="0" w:color="000000"/>
            </w:tcBorders>
          </w:tcPr>
          <w:p>
            <w:pPr>
              <w:pStyle w:val="Compact"/>
              <w:keepNext/>
              <w:spacing w:before="20" w:after="20" w:line="240" w:lineRule="auto"/>
              <w:jc w:val="center"/>
            </w:pPr>
            <w:r>
              <w:rPr>
                <w:rFonts w:ascii="Times New Roman" w:hAnsi="Times New Roman"/>
                <w:b/>
                <w:sz w:val="17"/>
              </w:rPr>
              <w:t>F1</w:t>
            </w:r>
          </w:p>
        </w:tc>
        <w:tc>
          <w:tcPr>
            <w:tcW w:type="dxa" w:w="979"/>
            <w:tcBorders>
              <w:bottom w:val="single" w:sz="6" w:space="0" w:color="000000"/>
            </w:tcBorders>
          </w:tcPr>
          <w:p>
            <w:pPr>
              <w:pStyle w:val="Compact"/>
              <w:keepNext/>
              <w:spacing w:before="20" w:after="20" w:line="240" w:lineRule="auto"/>
              <w:jc w:val="center"/>
            </w:pPr>
            <w:r>
              <w:rPr>
                <w:rFonts w:ascii="Times New Roman" w:hAnsi="Times New Roman"/>
                <w:b/>
                <w:sz w:val="17"/>
              </w:rPr>
              <w:t>ROC‑AUC</w:t>
            </w:r>
          </w:p>
        </w:tc>
        <w:tc>
          <w:tcPr>
            <w:tcW w:type="dxa" w:w="1037"/>
            <w:tcBorders>
              <w:bottom w:val="single" w:sz="6" w:space="0" w:color="000000"/>
            </w:tcBorders>
          </w:tcPr>
          <w:p>
            <w:pPr>
              <w:pStyle w:val="Compact"/>
              <w:keepNext/>
              <w:spacing w:before="20" w:after="20" w:line="240" w:lineRule="auto"/>
              <w:jc w:val="center"/>
            </w:pPr>
            <w:r>
              <w:rPr>
                <w:rFonts w:ascii="Times New Roman" w:hAnsi="Times New Roman"/>
                <w:b/>
                <w:sz w:val="17"/>
              </w:rPr>
              <w:t>PR‑AUC</w:t>
            </w:r>
          </w:p>
        </w:tc>
        <w:tc>
          <w:tcPr>
            <w:tcW w:type="dxa" w:w="893"/>
            <w:tcBorders>
              <w:bottom w:val="single" w:sz="6" w:space="0" w:color="000000"/>
            </w:tcBorders>
          </w:tcPr>
          <w:p>
            <w:pPr>
              <w:pStyle w:val="Compact"/>
              <w:keepNext/>
              <w:spacing w:before="20" w:after="20" w:line="240" w:lineRule="auto"/>
              <w:jc w:val="center"/>
            </w:pPr>
          </w:p>
        </w:tc>
        <w:tc>
          <w:tcPr>
            <w:tcW w:type="dxa" w:w="1238"/>
            <w:tcBorders>
              <w:bottom w:val="single" w:sz="6" w:space="0" w:color="000000"/>
            </w:tcBorders>
          </w:tcPr>
          <w:p>
            <w:pPr>
              <w:pStyle w:val="Compact"/>
              <w:keepNext/>
              <w:spacing w:before="20" w:after="20" w:line="240" w:lineRule="auto"/>
              <w:jc w:val="center"/>
            </w:pPr>
            <w:r>
              <w:rPr>
                <w:rFonts w:ascii="Times New Roman" w:hAnsi="Times New Roman"/>
                <w:b/>
                <w:sz w:val="17"/>
              </w:rPr>
              <w:t>ROC‑AUC, 10 seeds</w:t>
            </w:r>
          </w:p>
        </w:tc>
      </w:tr>
      <w:tr>
        <w:trPr>
          <w:cantSplit/>
        </w:trPr>
        <w:tc>
          <w:tcPr>
            <w:tcW w:type="dxa" w:w="2016"/>
          </w:tcPr>
          <w:p>
            <w:pPr>
              <w:pStyle w:val="Compact"/>
              <w:keepNext/>
              <w:spacing w:before="20" w:after="20" w:line="240" w:lineRule="auto"/>
              <w:jc w:val="left"/>
            </w:pPr>
            <w:r>
              <w:rPr>
                <w:rFonts w:ascii="Times New Roman" w:hAnsi="Times New Roman"/>
                <w:sz w:val="17"/>
              </w:rPr>
              <w:t xml:space="preserve">Logistic regression</w:t>
            </w:r>
          </w:p>
        </w:tc>
        <w:tc>
          <w:tcPr>
            <w:tcW w:type="dxa" w:w="749"/>
          </w:tcPr>
          <w:p>
            <w:pPr>
              <w:pStyle w:val="Compact"/>
              <w:keepNext/>
              <w:spacing w:before="20" w:after="20" w:line="240" w:lineRule="auto"/>
              <w:jc w:val="center"/>
            </w:pPr>
          </w:p>
        </w:tc>
        <w:tc>
          <w:tcPr>
            <w:tcW w:type="dxa" w:w="1224"/>
          </w:tcPr>
          <w:p>
            <w:pPr>
              <w:pStyle w:val="Compact"/>
              <w:keepNext/>
              <w:spacing w:before="20" w:after="20" w:line="240" w:lineRule="auto"/>
              <w:jc w:val="center"/>
            </w:pPr>
            <w:r>
              <w:rPr>
                <w:rFonts w:ascii="Times New Roman" w:hAnsi="Times New Roman"/>
                <w:sz w:val="17"/>
              </w:rPr>
              <w:t xml:space="preserve">0.752</w:t>
            </w:r>
          </w:p>
        </w:tc>
        <w:tc>
          <w:tcPr>
            <w:tcW w:type="dxa" w:w="1224"/>
          </w:tcPr>
          <w:p>
            <w:pPr>
              <w:pStyle w:val="Compact"/>
              <w:keepNext/>
              <w:spacing w:before="20" w:after="20" w:line="240" w:lineRule="auto"/>
              <w:jc w:val="center"/>
            </w:pPr>
            <w:r>
              <w:rPr>
                <w:rFonts w:ascii="Times New Roman" w:hAnsi="Times New Roman"/>
                <w:sz w:val="17"/>
              </w:rPr>
              <w:t xml:space="preserve">0.740</w:t>
            </w:r>
          </w:p>
        </w:tc>
        <w:tc>
          <w:tcPr>
            <w:tcW w:type="dxa" w:w="979"/>
          </w:tcPr>
          <w:p>
            <w:pPr>
              <w:pStyle w:val="Compact"/>
              <w:keepNext/>
              <w:spacing w:before="20" w:after="20" w:line="240" w:lineRule="auto"/>
              <w:jc w:val="center"/>
            </w:pPr>
            <w:r>
              <w:rPr>
                <w:rFonts w:ascii="Times New Roman" w:hAnsi="Times New Roman"/>
                <w:sz w:val="17"/>
              </w:rPr>
              <w:t xml:space="preserve">0.818</w:t>
            </w:r>
          </w:p>
        </w:tc>
        <w:tc>
          <w:tcPr>
            <w:tcW w:type="dxa" w:w="1037"/>
          </w:tcPr>
          <w:p>
            <w:pPr>
              <w:pStyle w:val="Compact"/>
              <w:keepNext/>
              <w:spacing w:before="20" w:after="20" w:line="240" w:lineRule="auto"/>
              <w:jc w:val="center"/>
            </w:pPr>
            <w:r>
              <w:rPr>
                <w:rFonts w:ascii="Times New Roman" w:hAnsi="Times New Roman"/>
                <w:sz w:val="17"/>
              </w:rPr>
              <w:t xml:space="preserve">0.879</w:t>
            </w:r>
          </w:p>
        </w:tc>
        <w:tc>
          <w:tcPr>
            <w:tcW w:type="dxa" w:w="893"/>
          </w:tcPr>
          <w:p>
            <w:pPr>
              <w:pStyle w:val="Compact"/>
              <w:keepNext/>
              <w:spacing w:before="20" w:after="20" w:line="240" w:lineRule="auto"/>
              <w:jc w:val="center"/>
            </w:pPr>
          </w:p>
        </w:tc>
        <w:tc>
          <w:tcPr>
            <w:tcW w:type="dxa" w:w="1238"/>
          </w:tcPr>
          <w:p>
            <w:pPr>
              <w:pStyle w:val="Compact"/>
              <w:keepNext/>
              <w:spacing w:before="20" w:after="20" w:line="240" w:lineRule="auto"/>
              <w:jc w:val="center"/>
            </w:pPr>
            <w:r>
              <w:rPr>
                <w:rFonts w:ascii="Times New Roman" w:hAnsi="Times New Roman"/>
                <w:sz w:val="17"/>
              </w:rPr>
              <w:t xml:space="preserve">0.812 ± 0.008</w:t>
            </w:r>
          </w:p>
        </w:tc>
      </w:tr>
      <w:tr>
        <w:trPr>
          <w:cantSplit/>
        </w:trPr>
        <w:tc>
          <w:tcPr>
            <w:tcW w:type="dxa" w:w="2016"/>
          </w:tcPr>
          <w:p>
            <w:pPr>
              <w:pStyle w:val="Compact"/>
              <w:keepNext/>
              <w:spacing w:before="20" w:after="20" w:line="240" w:lineRule="auto"/>
              <w:jc w:val="left"/>
            </w:pPr>
            <w:r>
              <w:rPr>
                <w:rFonts w:ascii="Times New Roman" w:hAnsi="Times New Roman"/>
                <w:sz w:val="17"/>
              </w:rPr>
              <w:t xml:space="preserve">Gradient boosting</w:t>
            </w:r>
          </w:p>
        </w:tc>
        <w:tc>
          <w:tcPr>
            <w:tcW w:type="dxa" w:w="749"/>
          </w:tcPr>
          <w:p>
            <w:pPr>
              <w:pStyle w:val="Compact"/>
              <w:keepNext/>
              <w:spacing w:before="20" w:after="20" w:line="240" w:lineRule="auto"/>
              <w:jc w:val="center"/>
            </w:pPr>
          </w:p>
        </w:tc>
        <w:tc>
          <w:tcPr>
            <w:tcW w:type="dxa" w:w="1224"/>
          </w:tcPr>
          <w:p>
            <w:pPr>
              <w:pStyle w:val="Compact"/>
              <w:keepNext/>
              <w:spacing w:before="20" w:after="20" w:line="240" w:lineRule="auto"/>
              <w:jc w:val="center"/>
            </w:pPr>
            <w:r>
              <w:rPr>
                <w:rFonts w:ascii="Times New Roman" w:hAnsi="Times New Roman"/>
                <w:b/>
                <w:bCs/>
                <w:sz w:val="17"/>
              </w:rPr>
              <w:t xml:space="preserve">0.786</w:t>
            </w:r>
          </w:p>
        </w:tc>
        <w:tc>
          <w:tcPr>
            <w:tcW w:type="dxa" w:w="1224"/>
          </w:tcPr>
          <w:p>
            <w:pPr>
              <w:pStyle w:val="Compact"/>
              <w:keepNext/>
              <w:spacing w:before="20" w:after="20" w:line="240" w:lineRule="auto"/>
              <w:jc w:val="center"/>
            </w:pPr>
            <w:r>
              <w:rPr>
                <w:rFonts w:ascii="Times New Roman" w:hAnsi="Times New Roman"/>
                <w:b/>
                <w:bCs/>
                <w:sz w:val="17"/>
              </w:rPr>
              <w:t xml:space="preserve">0.774</w:t>
            </w:r>
          </w:p>
        </w:tc>
        <w:tc>
          <w:tcPr>
            <w:tcW w:type="dxa" w:w="979"/>
          </w:tcPr>
          <w:p>
            <w:pPr>
              <w:pStyle w:val="Compact"/>
              <w:keepNext/>
              <w:spacing w:before="20" w:after="20" w:line="240" w:lineRule="auto"/>
              <w:jc w:val="center"/>
            </w:pPr>
            <w:r>
              <w:rPr>
                <w:rFonts w:ascii="Times New Roman" w:hAnsi="Times New Roman"/>
                <w:b/>
                <w:bCs/>
                <w:sz w:val="17"/>
              </w:rPr>
              <w:t xml:space="preserve">0.947</w:t>
            </w:r>
          </w:p>
        </w:tc>
        <w:tc>
          <w:tcPr>
            <w:tcW w:type="dxa" w:w="1037"/>
          </w:tcPr>
          <w:p>
            <w:pPr>
              <w:pStyle w:val="Compact"/>
              <w:keepNext/>
              <w:spacing w:before="20" w:after="20" w:line="240" w:lineRule="auto"/>
              <w:jc w:val="center"/>
            </w:pPr>
            <w:r>
              <w:rPr>
                <w:rFonts w:ascii="Times New Roman" w:hAnsi="Times New Roman"/>
                <w:b/>
                <w:bCs/>
                <w:sz w:val="17"/>
              </w:rPr>
              <w:t xml:space="preserve">0.951</w:t>
            </w:r>
          </w:p>
        </w:tc>
        <w:tc>
          <w:tcPr>
            <w:tcW w:type="dxa" w:w="893"/>
          </w:tcPr>
          <w:p>
            <w:pPr>
              <w:pStyle w:val="Compact"/>
              <w:keepNext/>
              <w:spacing w:before="20" w:after="20" w:line="240" w:lineRule="auto"/>
              <w:jc w:val="center"/>
            </w:pPr>
          </w:p>
        </w:tc>
        <w:tc>
          <w:tcPr>
            <w:tcW w:type="dxa" w:w="1238"/>
          </w:tcPr>
          <w:p>
            <w:pPr>
              <w:pStyle w:val="Compact"/>
              <w:keepNext/>
              <w:spacing w:before="20" w:after="20" w:line="240" w:lineRule="auto"/>
              <w:jc w:val="center"/>
            </w:pPr>
            <w:r>
              <w:rPr>
                <w:rFonts w:ascii="Times New Roman" w:hAnsi="Times New Roman"/>
                <w:b/>
                <w:bCs/>
                <w:sz w:val="17"/>
              </w:rPr>
              <w:t xml:space="preserve">0.936 ± 0.010</w:t>
            </w:r>
          </w:p>
        </w:tc>
      </w:tr>
      <w:tr>
        <w:trPr>
          <w:cantSplit/>
        </w:trPr>
        <w:tc>
          <w:tcPr>
            <w:tcW w:type="dxa" w:w="2016"/>
          </w:tcPr>
          <w:p>
            <w:pPr>
              <w:pStyle w:val="Compact"/>
              <w:keepNext/>
              <w:spacing w:before="20" w:after="20" w:line="240" w:lineRule="auto"/>
              <w:jc w:val="left"/>
            </w:pPr>
            <w:r>
              <w:rPr>
                <w:rFonts w:ascii="Times New Roman" w:hAnsi="Times New Roman"/>
                <w:sz w:val="17"/>
              </w:rPr>
              <w:t xml:space="preserve">MLP (input to proposed policy)</w:t>
            </w:r>
          </w:p>
        </w:tc>
        <w:tc>
          <w:tcPr>
            <w:tcW w:type="dxa" w:w="749"/>
          </w:tcPr>
          <w:p>
            <w:pPr>
              <w:pStyle w:val="Compact"/>
              <w:keepNext/>
              <w:spacing w:before="20" w:after="20" w:line="240" w:lineRule="auto"/>
              <w:jc w:val="center"/>
            </w:pPr>
          </w:p>
        </w:tc>
        <w:tc>
          <w:tcPr>
            <w:tcW w:type="dxa" w:w="1224"/>
          </w:tcPr>
          <w:p>
            <w:pPr>
              <w:pStyle w:val="Compact"/>
              <w:keepNext/>
              <w:spacing w:before="20" w:after="20" w:line="240" w:lineRule="auto"/>
              <w:jc w:val="center"/>
            </w:pPr>
            <w:r>
              <w:rPr>
                <w:rFonts w:ascii="Times New Roman" w:hAnsi="Times New Roman"/>
                <w:sz w:val="17"/>
              </w:rPr>
              <w:t xml:space="preserve">0.773</w:t>
            </w:r>
          </w:p>
        </w:tc>
        <w:tc>
          <w:tcPr>
            <w:tcW w:type="dxa" w:w="1224"/>
          </w:tcPr>
          <w:p>
            <w:pPr>
              <w:pStyle w:val="Compact"/>
              <w:keepNext/>
              <w:spacing w:before="20" w:after="20" w:line="240" w:lineRule="auto"/>
              <w:jc w:val="center"/>
            </w:pPr>
            <w:r>
              <w:rPr>
                <w:rFonts w:ascii="Times New Roman" w:hAnsi="Times New Roman"/>
                <w:sz w:val="17"/>
              </w:rPr>
              <w:t xml:space="preserve">0.766</w:t>
            </w:r>
          </w:p>
        </w:tc>
        <w:tc>
          <w:tcPr>
            <w:tcW w:type="dxa" w:w="979"/>
          </w:tcPr>
          <w:p>
            <w:pPr>
              <w:pStyle w:val="Compact"/>
              <w:keepNext/>
              <w:spacing w:before="20" w:after="20" w:line="240" w:lineRule="auto"/>
              <w:jc w:val="center"/>
            </w:pPr>
            <w:r>
              <w:rPr>
                <w:rFonts w:ascii="Times New Roman" w:hAnsi="Times New Roman"/>
                <w:sz w:val="17"/>
              </w:rPr>
              <w:t xml:space="preserve">0.908</w:t>
            </w:r>
          </w:p>
        </w:tc>
        <w:tc>
          <w:tcPr>
            <w:tcW w:type="dxa" w:w="1037"/>
          </w:tcPr>
          <w:p>
            <w:pPr>
              <w:pStyle w:val="Compact"/>
              <w:keepNext/>
              <w:spacing w:before="20" w:after="20" w:line="240" w:lineRule="auto"/>
              <w:jc w:val="center"/>
            </w:pPr>
            <w:r>
              <w:rPr>
                <w:rFonts w:ascii="Times New Roman" w:hAnsi="Times New Roman"/>
                <w:sz w:val="17"/>
              </w:rPr>
              <w:t xml:space="preserve">0.923</w:t>
            </w:r>
          </w:p>
        </w:tc>
        <w:tc>
          <w:tcPr>
            <w:tcW w:type="dxa" w:w="893"/>
          </w:tcPr>
          <w:p>
            <w:pPr>
              <w:pStyle w:val="Compact"/>
              <w:keepNext/>
              <w:spacing w:before="20" w:after="20" w:line="240" w:lineRule="auto"/>
              <w:jc w:val="center"/>
            </w:pPr>
          </w:p>
        </w:tc>
        <w:tc>
          <w:tcPr>
            <w:tcW w:type="dxa" w:w="1238"/>
          </w:tcPr>
          <w:p>
            <w:pPr>
              <w:pStyle w:val="Compact"/>
              <w:keepNext/>
              <w:spacing w:before="20" w:after="20" w:line="240" w:lineRule="auto"/>
              <w:jc w:val="center"/>
            </w:pPr>
            <w:r>
              <w:rPr>
                <w:rFonts w:ascii="Times New Roman" w:hAnsi="Times New Roman"/>
                <w:sz w:val="17"/>
              </w:rPr>
              <w:t xml:space="preserve">0.900 ± 0.007</w:t>
            </w:r>
          </w:p>
        </w:tc>
      </w:tr>
      <w:tr>
        <w:trPr>
          <w:cantSplit/>
        </w:trPr>
        <w:tc>
          <w:tcPr>
            <w:tcW w:type="dxa" w:w="9360"/>
            <w:gridSpan w:val="8"/>
            <w:tcBorders>
              <w:top w:val="single" w:sz="6" w:space="0" w:color="000000"/>
            </w:tcBorders>
          </w:tcPr>
          <w:p>
            <w:pPr>
              <w:pStyle w:val="Compact"/>
              <w:keepNext/>
              <w:spacing w:before="20" w:after="20" w:line="240" w:lineRule="auto"/>
              <w:jc w:val="left"/>
            </w:pPr>
            <w:r>
              <w:rPr>
                <w:rFonts w:ascii="Times New Roman" w:hAnsi="Times New Roman"/>
                <w:b w:val="0"/>
                <w:i/>
                <w:iCs/>
                <w:sz w:val="17"/>
              </w:rPr>
              <w:t xml:space="preserve">Panel B. Decision policies on identical MLP scores</w:t>
            </w:r>
          </w:p>
        </w:tc>
      </w:tr>
      <w:tr>
        <w:trPr>
          <w:cantSplit/>
        </w:trPr>
        <w:tc>
          <w:tcPr>
            <w:tcW w:type="dxa" w:w="2016"/>
            <w:tcBorders>
              <w:bottom w:val="single" w:sz="6" w:space="0" w:color="000000"/>
            </w:tcBorders>
          </w:tcPr>
          <w:p>
            <w:pPr>
              <w:pStyle w:val="Compact"/>
              <w:keepNext/>
              <w:spacing w:before="20" w:after="20" w:line="240" w:lineRule="auto"/>
              <w:jc w:val="left"/>
            </w:pPr>
            <w:r>
              <w:rPr>
                <w:rFonts w:ascii="Times New Roman" w:hAnsi="Times New Roman"/>
                <w:b/>
                <w:sz w:val="17"/>
              </w:rPr>
              <w:t>Policy</w:t>
            </w:r>
          </w:p>
        </w:tc>
        <w:tc>
          <w:tcPr>
            <w:tcW w:type="dxa" w:w="749"/>
            <w:tcBorders>
              <w:bottom w:val="single" w:sz="6" w:space="0" w:color="000000"/>
            </w:tcBorders>
          </w:tcPr>
          <w:p>
            <w:pPr>
              <w:pStyle w:val="Compact"/>
              <w:keepNext/>
              <w:spacing w:before="20" w:after="20" w:line="240" w:lineRule="auto"/>
              <w:jc w:val="center"/>
            </w:pPr>
            <w:r>
              <w:rPr>
                <w:rFonts w:ascii="Times New Roman" w:hAnsi="Times New Roman"/>
                <w:b/>
                <w:sz w:val="17"/>
              </w:rPr>
              <w:t>Scores</w:t>
            </w:r>
          </w:p>
        </w:tc>
        <w:tc>
          <w:tcPr>
            <w:tcW w:type="dxa" w:w="1224"/>
            <w:tcBorders>
              <w:bottom w:val="single" w:sz="6" w:space="0" w:color="000000"/>
            </w:tcBorders>
          </w:tcPr>
          <w:p>
            <w:pPr>
              <w:pStyle w:val="Compact"/>
              <w:keepNext/>
              <w:spacing w:before="20" w:after="20" w:line="240" w:lineRule="auto"/>
              <w:jc w:val="center"/>
            </w:pPr>
            <m:oMath>
              <m:bar>
                <m:barPr>
                  <m:pos m:val="top"/>
                </m:barPr>
                <m:e>
                  <m:r>
                    <m:t>C</m:t>
                  </m:r>
                </m:e>
              </m:bar>
            </m:oMath>
          </w:p>
        </w:tc>
        <w:tc>
          <w:tcPr>
            <w:tcW w:type="dxa" w:w="1224"/>
            <w:tcBorders>
              <w:bottom w:val="single" w:sz="6" w:space="0" w:color="000000"/>
            </w:tcBorders>
          </w:tcPr>
          <w:p>
            <w:pPr>
              <w:pStyle w:val="Compact"/>
              <w:keepNext/>
              <w:spacing w:before="20" w:after="20" w:line="240" w:lineRule="auto"/>
              <w:jc w:val="center"/>
            </w:pPr>
            <w:r>
              <w:rPr>
                <w:rFonts w:ascii="Times New Roman" w:hAnsi="Times New Roman"/>
                <w:b/>
                <w:sz w:val="17"/>
              </w:rPr>
              <w:t>Coverage</w:t>
            </w:r>
          </w:p>
        </w:tc>
        <w:tc>
          <w:tcPr>
            <w:tcW w:type="dxa" w:w="979"/>
            <w:tcBorders>
              <w:bottom w:val="single" w:sz="6" w:space="0" w:color="000000"/>
            </w:tcBorders>
          </w:tcPr>
          <w:p>
            <w:pPr>
              <w:pStyle w:val="Compact"/>
              <w:keepNext/>
              <w:spacing w:before="20" w:after="20" w:line="240" w:lineRule="auto"/>
              <w:jc w:val="center"/>
            </w:pPr>
            <w:r>
              <w:rPr>
                <w:rFonts w:ascii="Times New Roman" w:hAnsi="Times New Roman"/>
                <w:b/>
                <w:sz w:val="17"/>
              </w:rPr>
              <w:t>UE</w:t>
            </w:r>
          </w:p>
        </w:tc>
        <w:tc>
          <w:tcPr>
            <w:tcW w:type="dxa" w:w="1037"/>
            <w:tcBorders>
              <w:bottom w:val="single" w:sz="6" w:space="0" w:color="000000"/>
            </w:tcBorders>
          </w:tcPr>
          <w:p>
            <w:pPr>
              <w:pStyle w:val="Compact"/>
              <w:keepNext/>
              <w:spacing w:before="20" w:after="20" w:line="240" w:lineRule="auto"/>
              <w:jc w:val="center"/>
            </w:pPr>
            <m:oMath>
              <m:r>
                <m:rPr>
                  <m:sty m:val="p"/>
                </m:rPr>
                <m:t>Δ</m:t>
              </m:r>
              <m:bar>
                <m:barPr>
                  <m:pos m:val="top"/>
                </m:barPr>
                <m:e>
                  <m:r>
                    <m:t>C</m:t>
                  </m:r>
                </m:e>
              </m:bar>
            </m:oMath>
          </w:p>
        </w:tc>
        <w:tc>
          <w:tcPr>
            <w:tcW w:type="dxa" w:w="893"/>
            <w:tcBorders>
              <w:bottom w:val="single" w:sz="6" w:space="0" w:color="000000"/>
            </w:tcBorders>
          </w:tcPr>
          <w:p>
            <w:pPr>
              <w:pStyle w:val="Compact"/>
              <w:keepNext/>
              <w:spacing w:before="20" w:after="20" w:line="240" w:lineRule="auto"/>
              <w:jc w:val="center"/>
            </w:pPr>
            <w:r>
              <w:rPr>
                <w:rFonts w:ascii="Times New Roman" w:hAnsi="Times New Roman"/>
                <w:b/>
                <w:i/>
                <w:iCs/>
                <w:sz w:val="17"/>
              </w:rPr>
              <w:t>p</w:t>
            </w:r>
          </w:p>
        </w:tc>
        <w:tc>
          <w:tcPr>
            <w:tcW w:type="dxa" w:w="1238"/>
            <w:tcBorders>
              <w:bottom w:val="single" w:sz="6" w:space="0" w:color="000000"/>
            </w:tcBorders>
          </w:tcPr>
          <w:p>
            <w:pPr>
              <w:pStyle w:val="Compact"/>
              <w:keepNext/>
              <w:spacing w:before="20" w:after="20" w:line="240" w:lineRule="auto"/>
              <w:jc w:val="center"/>
            </w:pPr>
            <m:oMath>
              <m:bar>
                <m:barPr>
                  <m:pos m:val="top"/>
                </m:barPr>
                <m:e>
                  <m:r>
                    <m:t>C</m:t>
                  </m:r>
                </m:e>
              </m:bar>
            </m:oMath>
            <w:r>
              <w:rPr>
                <w:rFonts w:ascii="Times New Roman" w:hAnsi="Times New Roman"/>
                <w:b/>
                <w:sz w:val="17"/>
              </w:rPr>
              <w:t>, 10 seeds</w:t>
            </w:r>
          </w:p>
        </w:tc>
      </w:tr>
      <w:tr>
        <w:trPr>
          <w:cantSplit/>
        </w:trPr>
        <w:tc>
          <w:tcPr>
            <w:tcW w:type="dxa" w:w="2016"/>
          </w:tcPr>
          <w:p>
            <w:pPr>
              <w:pStyle w:val="Compact"/>
              <w:keepNext/>
              <w:spacing w:before="20" w:after="20" w:line="240" w:lineRule="auto"/>
              <w:jc w:val="left"/>
            </w:pPr>
            <w:r>
              <w:rPr>
                <w:rFonts w:ascii="Times New Roman" w:hAnsi="Times New Roman"/>
                <w:sz w:val="17"/>
              </w:rPr>
              <w:t xml:space="preserve">Threshold 0.5</w:t>
            </w:r>
          </w:p>
        </w:tc>
        <w:tc>
          <w:tcPr>
            <w:tcW w:type="dxa" w:w="749"/>
          </w:tcPr>
          <w:p>
            <w:pPr>
              <w:pStyle w:val="Compact"/>
              <w:keepNext/>
              <w:spacing w:before="20" w:after="20" w:line="240" w:lineRule="auto"/>
              <w:jc w:val="center"/>
            </w:pPr>
            <w:r>
              <w:rPr>
                <w:rFonts w:ascii="Times New Roman" w:hAnsi="Times New Roman"/>
                <w:sz w:val="17"/>
              </w:rPr>
              <w:t xml:space="preserve">MLP</w:t>
            </w:r>
          </w:p>
        </w:tc>
        <w:tc>
          <w:tcPr>
            <w:tcW w:type="dxa" w:w="1224"/>
          </w:tcPr>
          <w:p>
            <w:pPr>
              <w:pStyle w:val="Compact"/>
              <w:keepNext/>
              <w:spacing w:before="20" w:after="20" w:line="240" w:lineRule="auto"/>
              <w:jc w:val="center"/>
            </w:pPr>
            <w:r>
              <w:rPr>
                <w:rFonts w:ascii="Times New Roman" w:hAnsi="Times New Roman"/>
                <w:b w:val="0"/>
                <w:sz w:val="17"/>
              </w:rPr>
              <w:t>3.264</w:t>
              <w:br/>
            </w:r>
            <w:r>
              <w:rPr>
                <w:rFonts w:ascii="Times New Roman" w:hAnsi="Times New Roman"/>
                <w:sz w:val="15"/>
              </w:rPr>
              <w:t>[3.210, 3.316]</w:t>
            </w:r>
          </w:p>
        </w:tc>
        <w:tc>
          <w:tcPr>
            <w:tcW w:type="dxa" w:w="1224"/>
          </w:tcPr>
          <w:p>
            <w:pPr>
              <w:pStyle w:val="Compact"/>
              <w:keepNext/>
              <w:spacing w:before="20" w:after="20" w:line="240" w:lineRule="auto"/>
              <w:jc w:val="center"/>
            </w:pPr>
            <w:r>
              <w:rPr>
                <w:rFonts w:ascii="Times New Roman" w:hAnsi="Times New Roman"/>
                <w:b w:val="0"/>
                <w:sz w:val="17"/>
              </w:rPr>
              <w:t>0.655</w:t>
              <w:br/>
            </w:r>
            <w:r>
              <w:rPr>
                <w:rFonts w:ascii="Times New Roman" w:hAnsi="Times New Roman"/>
                <w:sz w:val="15"/>
              </w:rPr>
              <w:t>[0.646, 0.664]</w:t>
            </w:r>
          </w:p>
        </w:tc>
        <w:tc>
          <w:tcPr>
            <w:tcW w:type="dxa" w:w="979"/>
          </w:tcPr>
          <w:p>
            <w:pPr>
              <w:pStyle w:val="Compact"/>
              <w:keepNext/>
              <w:spacing w:before="20" w:after="20" w:line="240" w:lineRule="auto"/>
              <w:jc w:val="center"/>
            </w:pPr>
            <w:r>
              <w:rPr>
                <w:rFonts w:ascii="Times New Roman" w:hAnsi="Times New Roman"/>
                <w:sz w:val="17"/>
              </w:rPr>
              <w:t xml:space="preserve">623</w:t>
            </w:r>
          </w:p>
        </w:tc>
        <w:tc>
          <w:tcPr>
            <w:tcW w:type="dxa" w:w="1037"/>
          </w:tcPr>
          <w:p>
            <w:pPr>
              <w:pStyle w:val="Compact"/>
              <w:keepNext/>
              <w:spacing w:before="20" w:after="20" w:line="240" w:lineRule="auto"/>
              <w:jc w:val="center"/>
            </w:pPr>
            <w:r>
              <w:rPr>
                <w:rFonts w:ascii="Times New Roman" w:hAnsi="Times New Roman"/>
                <w:b w:val="0"/>
                <w:sz w:val="17"/>
              </w:rPr>
              <w:t>+0.196</w:t>
              <w:br/>
            </w:r>
            <w:r>
              <w:rPr>
                <w:rFonts w:ascii="Times New Roman" w:hAnsi="Times New Roman"/>
                <w:sz w:val="15"/>
              </w:rPr>
              <w:t>[0.180, 0.213]</w:t>
            </w:r>
          </w:p>
        </w:tc>
        <w:tc>
          <w:tcPr>
            <w:tcW w:type="dxa" w:w="893"/>
          </w:tcPr>
          <w:p>
            <w:pPr>
              <w:pStyle w:val="Compact"/>
              <w:keepNext/>
              <w:spacing w:before="20" w:after="20" w:line="240" w:lineRule="auto"/>
              <w:jc w:val="center"/>
            </w:pPr>
            <w:r>
              <w:rPr>
                <w:rFonts w:ascii="Times New Roman" w:hAnsi="Times New Roman"/>
                <w:sz w:val="17"/>
              </w:rPr>
              <w:t xml:space="preserve">7.3×10⁻¹²⁴</w:t>
            </w:r>
          </w:p>
        </w:tc>
        <w:tc>
          <w:tcPr>
            <w:tcW w:type="dxa" w:w="1238"/>
          </w:tcPr>
          <w:p>
            <w:pPr>
              <w:pStyle w:val="Compact"/>
              <w:keepNext/>
              <w:spacing w:before="20" w:after="20" w:line="240" w:lineRule="auto"/>
              <w:jc w:val="center"/>
            </w:pPr>
            <w:r>
              <w:rPr>
                <w:rFonts w:ascii="Times New Roman" w:hAnsi="Times New Roman"/>
                <w:sz w:val="17"/>
              </w:rPr>
              <w:t xml:space="preserve">3.246 ± 0.076</w:t>
            </w:r>
          </w:p>
        </w:tc>
      </w:tr>
      <w:tr>
        <w:trPr>
          <w:cantSplit/>
        </w:trPr>
        <w:tc>
          <w:tcPr>
            <w:tcW w:type="dxa" w:w="2016"/>
          </w:tcPr>
          <w:p>
            <w:pPr>
              <w:pStyle w:val="Compact"/>
              <w:keepNext/>
              <w:spacing w:before="20" w:after="20" w:line="240" w:lineRule="auto"/>
              <w:jc w:val="left"/>
            </w:pPr>
            <w:r>
              <w:rPr>
                <w:rFonts w:ascii="Times New Roman" w:hAnsi="Times New Roman"/>
                <w:sz w:val="17"/>
              </w:rPr>
              <w:t xml:space="preserve">Top-20% escalation</w:t>
            </w:r>
          </w:p>
        </w:tc>
        <w:tc>
          <w:tcPr>
            <w:tcW w:type="dxa" w:w="749"/>
          </w:tcPr>
          <w:p>
            <w:pPr>
              <w:pStyle w:val="Compact"/>
              <w:keepNext/>
              <w:spacing w:before="20" w:after="20" w:line="240" w:lineRule="auto"/>
              <w:jc w:val="center"/>
            </w:pPr>
            <w:r>
              <w:rPr>
                <w:rFonts w:ascii="Times New Roman" w:hAnsi="Times New Roman"/>
                <w:sz w:val="17"/>
              </w:rPr>
              <w:t xml:space="preserve">MLP</w:t>
            </w:r>
          </w:p>
        </w:tc>
        <w:tc>
          <w:tcPr>
            <w:tcW w:type="dxa" w:w="1224"/>
          </w:tcPr>
          <w:p>
            <w:pPr>
              <w:pStyle w:val="Compact"/>
              <w:keepNext/>
              <w:spacing w:before="20" w:after="20" w:line="240" w:lineRule="auto"/>
              <w:jc w:val="center"/>
            </w:pPr>
            <w:r>
              <w:rPr>
                <w:rFonts w:ascii="Times New Roman" w:hAnsi="Times New Roman"/>
                <w:b w:val="0"/>
                <w:sz w:val="17"/>
              </w:rPr>
              <w:t>4.309</w:t>
              <w:br/>
            </w:r>
            <w:r>
              <w:rPr>
                <w:rFonts w:ascii="Times New Roman" w:hAnsi="Times New Roman"/>
                <w:sz w:val="15"/>
              </w:rPr>
              <w:t>[4.246, 4.372]</w:t>
            </w:r>
          </w:p>
        </w:tc>
        <w:tc>
          <w:tcPr>
            <w:tcW w:type="dxa" w:w="1224"/>
          </w:tcPr>
          <w:p>
            <w:pPr>
              <w:pStyle w:val="Compact"/>
              <w:keepNext/>
              <w:spacing w:before="20" w:after="20" w:line="240" w:lineRule="auto"/>
              <w:jc w:val="center"/>
            </w:pPr>
            <w:r>
              <w:rPr>
                <w:rFonts w:ascii="Times New Roman" w:hAnsi="Times New Roman"/>
                <w:b w:val="0"/>
                <w:sz w:val="17"/>
              </w:rPr>
              <w:t>0.348</w:t>
              <w:br/>
            </w:r>
            <w:r>
              <w:rPr>
                <w:rFonts w:ascii="Times New Roman" w:hAnsi="Times New Roman"/>
                <w:sz w:val="15"/>
              </w:rPr>
              <w:t>[0.339, 0.357]</w:t>
            </w:r>
          </w:p>
        </w:tc>
        <w:tc>
          <w:tcPr>
            <w:tcW w:type="dxa" w:w="979"/>
          </w:tcPr>
          <w:p>
            <w:pPr>
              <w:pStyle w:val="Compact"/>
              <w:keepNext/>
              <w:spacing w:before="20" w:after="20" w:line="240" w:lineRule="auto"/>
              <w:jc w:val="center"/>
            </w:pPr>
            <w:r>
              <w:rPr>
                <w:rFonts w:ascii="Times New Roman" w:hAnsi="Times New Roman"/>
                <w:b/>
                <w:bCs/>
                <w:sz w:val="17"/>
              </w:rPr>
              <w:t xml:space="preserve">47</w:t>
            </w:r>
          </w:p>
        </w:tc>
        <w:tc>
          <w:tcPr>
            <w:tcW w:type="dxa" w:w="1037"/>
          </w:tcPr>
          <w:p>
            <w:pPr>
              <w:pStyle w:val="Compact"/>
              <w:keepNext/>
              <w:spacing w:before="20" w:after="20" w:line="240" w:lineRule="auto"/>
              <w:jc w:val="center"/>
            </w:pPr>
            <w:r>
              <w:rPr>
                <w:rFonts w:ascii="Times New Roman" w:hAnsi="Times New Roman"/>
                <w:b w:val="0"/>
                <w:sz w:val="17"/>
              </w:rPr>
              <w:t>+1.242</w:t>
              <w:br/>
            </w:r>
            <w:r>
              <w:rPr>
                <w:rFonts w:ascii="Times New Roman" w:hAnsi="Times New Roman"/>
                <w:sz w:val="15"/>
              </w:rPr>
              <w:t>[1.196, 1.285]</w:t>
            </w:r>
          </w:p>
        </w:tc>
        <w:tc>
          <w:tcPr>
            <w:tcW w:type="dxa" w:w="893"/>
          </w:tcPr>
          <w:p>
            <w:pPr>
              <w:pStyle w:val="Compact"/>
              <w:keepNext/>
              <w:spacing w:before="20" w:after="20" w:line="240" w:lineRule="auto"/>
              <w:jc w:val="center"/>
            </w:pPr>
            <w:r>
              <w:rPr>
                <w:rFonts w:ascii="Times New Roman" w:hAnsi="Times New Roman"/>
                <w:sz w:val="17"/>
              </w:rPr>
              <w:t xml:space="preserve">&lt; 10⁻³⁰⁰</w:t>
            </w:r>
          </w:p>
        </w:tc>
        <w:tc>
          <w:tcPr>
            <w:tcW w:type="dxa" w:w="1238"/>
          </w:tcPr>
          <w:p>
            <w:pPr>
              <w:pStyle w:val="Compact"/>
              <w:keepNext/>
              <w:spacing w:before="20" w:after="20" w:line="240" w:lineRule="auto"/>
              <w:jc w:val="center"/>
            </w:pPr>
            <w:r>
              <w:rPr>
                <w:rFonts w:ascii="Times New Roman" w:hAnsi="Times New Roman"/>
                <w:sz w:val="17"/>
              </w:rPr>
              <w:t xml:space="preserve">4.318 ± 0.009</w:t>
            </w:r>
          </w:p>
        </w:tc>
      </w:tr>
      <w:tr>
        <w:trPr>
          <w:cantSplit/>
        </w:trPr>
        <w:tc>
          <w:tcPr>
            <w:tcW w:type="dxa" w:w="2016"/>
          </w:tcPr>
          <w:p>
            <w:pPr>
              <w:pStyle w:val="Compact"/>
              <w:keepNext w:val="0"/>
              <w:spacing w:before="20" w:after="20" w:line="240" w:lineRule="auto"/>
              <w:jc w:val="left"/>
            </w:pPr>
            <w:r>
              <w:rPr>
                <w:rFonts w:ascii="Times New Roman" w:hAnsi="Times New Roman"/>
                <w:b/>
                <w:bCs/>
                <w:sz w:val="17"/>
              </w:rPr>
              <w:t xml:space="preserve">Fuzzy rule policy (proposed)</w:t>
            </w:r>
          </w:p>
        </w:tc>
        <w:tc>
          <w:tcPr>
            <w:tcW w:type="dxa" w:w="749"/>
          </w:tcPr>
          <w:p>
            <w:pPr>
              <w:pStyle w:val="Compact"/>
              <w:keepNext w:val="0"/>
              <w:spacing w:before="20" w:after="20" w:line="240" w:lineRule="auto"/>
              <w:jc w:val="center"/>
            </w:pPr>
            <w:r>
              <w:rPr>
                <w:rFonts w:ascii="Times New Roman" w:hAnsi="Times New Roman"/>
                <w:sz w:val="17"/>
              </w:rPr>
              <w:t xml:space="preserve">MLP</w:t>
            </w:r>
          </w:p>
        </w:tc>
        <w:tc>
          <w:tcPr>
            <w:tcW w:type="dxa" w:w="1224"/>
          </w:tcPr>
          <w:p>
            <w:pPr>
              <w:pStyle w:val="Compact"/>
              <w:keepNext w:val="0"/>
              <w:spacing w:before="20" w:after="20" w:line="240" w:lineRule="auto"/>
              <w:jc w:val="center"/>
            </w:pPr>
            <w:r>
              <w:rPr>
                <w:rFonts w:ascii="Times New Roman" w:hAnsi="Times New Roman"/>
                <w:b/>
                <w:sz w:val="17"/>
              </w:rPr>
              <w:t>3.068</w:t>
              <w:br/>
            </w:r>
            <w:r>
              <w:rPr>
                <w:rFonts w:ascii="Times New Roman" w:hAnsi="Times New Roman"/>
                <w:sz w:val="15"/>
              </w:rPr>
              <w:t>[3.016, 3.118]</w:t>
            </w:r>
          </w:p>
        </w:tc>
        <w:tc>
          <w:tcPr>
            <w:tcW w:type="dxa" w:w="1224"/>
          </w:tcPr>
          <w:p>
            <w:pPr>
              <w:pStyle w:val="Compact"/>
              <w:keepNext w:val="0"/>
              <w:spacing w:before="20" w:after="20" w:line="240" w:lineRule="auto"/>
              <w:jc w:val="center"/>
            </w:pPr>
            <w:r>
              <w:rPr>
                <w:rFonts w:ascii="Times New Roman" w:hAnsi="Times New Roman"/>
                <w:b/>
                <w:sz w:val="17"/>
              </w:rPr>
              <w:t>0.686</w:t>
              <w:br/>
            </w:r>
            <w:r>
              <w:rPr>
                <w:rFonts w:ascii="Times New Roman" w:hAnsi="Times New Roman"/>
                <w:sz w:val="15"/>
              </w:rPr>
              <w:t>[0.677, 0.694]</w:t>
            </w:r>
          </w:p>
        </w:tc>
        <w:tc>
          <w:tcPr>
            <w:tcW w:type="dxa" w:w="979"/>
          </w:tcPr>
          <w:p>
            <w:pPr>
              <w:pStyle w:val="Compact"/>
              <w:keepNext w:val="0"/>
              <w:spacing w:before="20" w:after="20" w:line="240" w:lineRule="auto"/>
              <w:jc w:val="center"/>
            </w:pPr>
            <w:r>
              <w:rPr>
                <w:rFonts w:ascii="Times New Roman" w:hAnsi="Times New Roman"/>
                <w:sz w:val="17"/>
              </w:rPr>
              <w:t xml:space="preserve">603</w:t>
            </w:r>
          </w:p>
        </w:tc>
        <w:tc>
          <w:tcPr>
            <w:tcW w:type="dxa" w:w="1037"/>
          </w:tcPr>
          <w:p>
            <w:pPr>
              <w:pStyle w:val="Compact"/>
              <w:keepNext w:val="0"/>
              <w:spacing w:before="20" w:after="20" w:line="240" w:lineRule="auto"/>
              <w:jc w:val="center"/>
            </w:pPr>
            <w:r>
              <w:rPr>
                <w:rFonts w:ascii="Times New Roman" w:hAnsi="Times New Roman"/>
                <w:sz w:val="17"/>
              </w:rPr>
              <w:t xml:space="preserve">–</w:t>
            </w:r>
          </w:p>
        </w:tc>
        <w:tc>
          <w:tcPr>
            <w:tcW w:type="dxa" w:w="893"/>
          </w:tcPr>
          <w:p>
            <w:pPr>
              <w:pStyle w:val="Compact"/>
              <w:keepNext w:val="0"/>
              <w:spacing w:before="20" w:after="20" w:line="240" w:lineRule="auto"/>
              <w:jc w:val="center"/>
            </w:pPr>
            <w:r>
              <w:rPr>
                <w:rFonts w:ascii="Times New Roman" w:hAnsi="Times New Roman"/>
                <w:sz w:val="17"/>
              </w:rPr>
              <w:t xml:space="preserve">–</w:t>
            </w:r>
          </w:p>
        </w:tc>
        <w:tc>
          <w:tcPr>
            <w:tcW w:type="dxa" w:w="1238"/>
          </w:tcPr>
          <w:p>
            <w:pPr>
              <w:pStyle w:val="Compact"/>
              <w:keepNext w:val="0"/>
              <w:spacing w:before="20" w:after="20" w:line="240" w:lineRule="auto"/>
              <w:jc w:val="center"/>
            </w:pPr>
            <w:r>
              <w:rPr>
                <w:rFonts w:ascii="Times New Roman" w:hAnsi="Times New Roman"/>
                <w:b/>
                <w:bCs/>
                <w:sz w:val="17"/>
              </w:rPr>
              <w:t xml:space="preserve">3.088 ± 0.081</w:t>
            </w:r>
          </w:p>
        </w:tc>
      </w:tr>
    </w:tbl>
    <w:p>
      <w:pPr>
        <w:pStyle w:val="TableNote"/>
      </w:pPr>
      <w:r>
        <w:t xml:space="preserve">Brackets: paired bootstrap 95% CIs.</w:t>
      </w:r>
      <w:r>
        <w:t xml:space="preserve"> </w:t>
      </w:r>
      <m:oMath>
        <m:r>
          <m:rPr>
            <m:sty m:val="p"/>
          </m:rPr>
          <m:t>Δ</m:t>
        </m:r>
        <m:bar>
          <m:barPr>
            <m:pos m:val="top"/>
          </m:barPr>
          <m:e>
            <m:r>
              <m:t>C</m:t>
            </m:r>
          </m:e>
        </m:bar>
      </m:oMath>
      <w:r>
        <w:t xml:space="preserve">: cost difference from the proposed policy.</w:t>
      </w:r>
      <w:r>
        <w:t xml:space="preserve"> </w:t>
      </w:r>
      <w:r>
        <w:rPr>
          <w:i/>
          <w:iCs/>
        </w:rPr>
        <w:t xml:space="preserve">p</w:t>
      </w:r>
      <w:r>
        <w:t xml:space="preserve">: two-sided Wilcoxon signed-rank test on per-alert costs. 10 seeds: mean ± SD over seeds 42–51. Bold: best in each panel. PR-AUC: area under the precision–recall curve.</w:t>
      </w:r>
      <w:r>
        <w:t xml:space="preserve"> </w:t>
      </w:r>
      <m:oMath>
        <m:bar>
          <m:barPr>
            <m:pos m:val="top"/>
          </m:barPr>
          <m:e>
            <m:r>
              <m:t>C</m:t>
            </m:r>
          </m:e>
        </m:bar>
      </m:oMath>
      <w:r>
        <w:t xml:space="preserve">: mean triage cost, Eq. (6). UE: unnecessary escalations. Ablation and reference policies, with CIs: Supplementary Material (</w:t>
      </w:r>
      <w:r>
        <w:rPr>
          <w:rStyle w:val="VerbatimChar"/>
        </w:rPr>
        <w:t xml:space="preserve">table2_decision.csv</w:t>
      </w:r>
      <w:r>
        <w:t xml:space="preserve">).</w:t>
      </w:r>
    </w:p>
    <w:p>
      <w:pPr>
        <w:pStyle w:val="BodyText"/>
      </w:pPr>
      <w:r>
        <w:rPr>
          <w:i/>
          <w:iCs/>
        </w:rPr>
        <w:t xml:space="preserve">Prediction versus decision.</w:t>
      </w:r>
      <w:r>
        <w:t xml:space="preserve"> </w:t>
      </w:r>
      <w:r>
        <w:t xml:space="preserve">Gradient boosting is the best detector on every metric and beats the MLP in ROC-AUC in all ten seeds (Table 2, Panel A), so we make no claim about detection. On identical MLP scores, however, the rule base lowers the mean triage cost by 0.196 per alert relative to the 0.5 threshold and by 1.242 relative to top-20% escalation, and it raises coverage by 0.031 over the threshold (95% CI [0.028, 0.034]; Panel B). The two policies differ only on the 776 Medium-band alerts, which are contained instead of monitored or escalated, saving about 3,900 cost units per 20,000 alerts and sending 387 fewer alerts to analysts.</w:t>
      </w:r>
    </w:p>
    <w:p>
      <w:pPr>
        <w:pStyle w:val="CaptionedFigure"/>
      </w:pPr>
      <w:r>
        <w:drawing>
          <wp:inline>
            <wp:extent cx="5943600" cy="3363597"/>
            <wp:effectExtent b="0" l="0" r="0" t="0"/>
            <wp:docPr descr="Fig. 2. Mean triage cost against the missed-attack cost CFN (seed 42, log axis). Top-20% escalation is cheaper than the fuzzy rule policy only for CFN ≤ 3 (shaded). Error bars: paired bootstrap 95% CIs at the default CFN = 10 (dotted); dashed: Bayes reference." title="" id="17" name="Picture"/>
            <a:graphic>
              <a:graphicData uri="http://schemas.openxmlformats.org/drawingml/2006/picture">
                <pic:pic>
                  <pic:nvPicPr>
                    <pic:cNvPr descr="figures/fig2_cost_sensitivity.png" id="18" name="Picture"/>
                    <pic:cNvPicPr>
                      <a:picLocks noChangeArrowheads="1" noChangeAspect="1"/>
                    </pic:cNvPicPr>
                  </pic:nvPicPr>
                  <pic:blipFill>
                    <a:blip r:embed="rId16"/>
                    <a:stretch>
                      <a:fillRect/>
                    </a:stretch>
                  </pic:blipFill>
                  <pic:spPr bwMode="auto">
                    <a:xfrm>
                      <a:off x="0" y="0"/>
                      <a:ext cx="5943600" cy="3363597"/>
                    </a:xfrm>
                    <a:prstGeom prst="rect">
                      <a:avLst/>
                    </a:prstGeom>
                    <a:noFill/>
                    <a:ln w="9525">
                      <a:noFill/>
                      <a:headEnd/>
                      <a:tailEnd/>
                    </a:ln>
                  </pic:spPr>
                </pic:pic>
              </a:graphicData>
            </a:graphic>
          </wp:inline>
        </w:drawing>
      </w:r>
    </w:p>
    <w:p>
      <w:pPr>
        <w:pStyle w:val="ImageCaption"/>
      </w:pPr>
      <w:r>
        <w:rPr>
          <w:b/>
          <w:bCs/>
        </w:rPr>
        <w:t xml:space="preserve">Fig. 2.</w:t>
      </w:r>
      <w:r>
        <w:t xml:space="preserve"> </w:t>
      </w:r>
      <w:r>
        <w:t xml:space="preserve">Mean triage cost against the missed-attack cost</w:t>
      </w:r>
      <w:r>
        <w:t xml:space="preserve"> </w:t>
      </w:r>
      <w:r>
        <w:rPr>
          <w:i/>
          <w:iCs/>
        </w:rPr>
        <w:t xml:space="preserve">C</w:t>
      </w:r>
      <w:r>
        <w:rPr>
          <w:vertAlign w:val="subscript"/>
        </w:rPr>
        <w:t xml:space="preserve">FN</w:t>
      </w:r>
      <w:r>
        <w:t xml:space="preserve"> </w:t>
      </w:r>
      <w:r>
        <w:t xml:space="preserve">(seed 42, log axis). Top-20% escalation is cheaper than the fuzzy rule policy only for</w:t>
      </w:r>
      <w:r>
        <w:t xml:space="preserve"> </w:t>
      </w:r>
      <w:r>
        <w:rPr>
          <w:i/>
          <w:iCs/>
        </w:rPr>
        <w:t xml:space="preserve">C</w:t>
      </w:r>
      <w:r>
        <w:rPr>
          <w:vertAlign w:val="subscript"/>
        </w:rPr>
        <w:t xml:space="preserve">FN</w:t>
      </w:r>
      <w:r>
        <w:t xml:space="preserve"> </w:t>
      </w:r>
      <w:r>
        <w:t xml:space="preserve">≤ 3 (shaded). Error bars: paired bootstrap 95% CIs at the default</w:t>
      </w:r>
      <w:r>
        <w:t xml:space="preserve"> </w:t>
      </w:r>
      <w:r>
        <w:rPr>
          <w:i/>
          <w:iCs/>
        </w:rPr>
        <w:t xml:space="preserve">C</w:t>
      </w:r>
      <w:r>
        <w:rPr>
          <w:vertAlign w:val="subscript"/>
        </w:rPr>
        <w:t xml:space="preserve">FN</w:t>
      </w:r>
      <w:r>
        <w:t xml:space="preserve"> </w:t>
      </w:r>
      <w:r>
        <w:t xml:space="preserve">= 10 (dotted); dashed: Bayes reference.</w:t>
      </w:r>
    </w:p>
    <w:p>
      <w:pPr>
        <w:pStyle w:val="BodyText"/>
      </w:pPr>
      <w:r>
        <w:rPr>
          <w:i/>
          <w:iCs/>
        </w:rPr>
        <w:t xml:space="preserve">Robustness.</w:t>
      </w:r>
      <w:r>
        <w:t xml:space="preserve"> </w:t>
      </w:r>
      <w:r>
        <w:t xml:space="preserve">The rule base is cheaper than both crisp rules in every seed (Wilcoxon</w:t>
      </w:r>
      <w:r>
        <w:t xml:space="preserve"> </w:t>
      </w:r>
      <m:oMath>
        <m:r>
          <m:t>p</m:t>
        </m:r>
        <m:r>
          <m:rPr>
            <m:sty m:val="p"/>
          </m:rPr>
          <m:t>=</m:t>
        </m:r>
        <m:r>
          <m:t>0.002</m:t>
        </m:r>
      </m:oMath>
      <w:r>
        <w:t xml:space="preserve"> </w:t>
      </w:r>
      <w:r>
        <w:t xml:space="preserve">for both; means in Table 2), and its coverage exceeds that of the threshold in every seed. Its advantage over the threshold grows from 0.055 at</w:t>
      </w:r>
      <w:r>
        <w:t xml:space="preserve"> </w:t>
      </w:r>
      <m:oMath>
        <m:sSub>
          <m:e>
            <m:r>
              <m:t>C</m:t>
            </m:r>
          </m:e>
          <m:sub>
            <m:r>
              <m:t>F</m:t>
            </m:r>
            <m:r>
              <m:t>N</m:t>
            </m:r>
          </m:sub>
        </m:sSub>
        <m:r>
          <m:rPr>
            <m:sty m:val="p"/>
          </m:rPr>
          <m:t>=</m:t>
        </m:r>
        <m:r>
          <m:t>2</m:t>
        </m:r>
      </m:oMath>
      <w:r>
        <w:t xml:space="preserve"> </w:t>
      </w:r>
      <w:r>
        <w:t xml:space="preserve">to 0.549 at</w:t>
      </w:r>
      <w:r>
        <w:t xml:space="preserve"> </w:t>
      </w:r>
      <m:oMath>
        <m:sSub>
          <m:e>
            <m:r>
              <m:t>C</m:t>
            </m:r>
          </m:e>
          <m:sub>
            <m:r>
              <m:t>F</m:t>
            </m:r>
            <m:r>
              <m:t>N</m:t>
            </m:r>
          </m:sub>
        </m:sSub>
        <m:r>
          <m:rPr>
            <m:sty m:val="p"/>
          </m:rPr>
          <m:t>=</m:t>
        </m:r>
        <m:r>
          <m:t>30</m:t>
        </m:r>
      </m:oMath>
      <w:r>
        <w:t xml:space="preserve"> </w:t>
      </w:r>
      <w:r>
        <w:t xml:space="preserve">(Fig. 2), whereas top-20% escalation is cheaper only when</w:t>
      </w:r>
      <w:r>
        <w:t xml:space="preserve"> </w:t>
      </w:r>
      <m:oMath>
        <m:sSub>
          <m:e>
            <m:r>
              <m:t>C</m:t>
            </m:r>
          </m:e>
          <m:sub>
            <m:r>
              <m:t>F</m:t>
            </m:r>
            <m:r>
              <m:t>N</m:t>
            </m:r>
          </m:sub>
        </m:sSub>
        <m:r>
          <m:rPr>
            <m:sty m:val="p"/>
          </m:rPr>
          <m:t>≤</m:t>
        </m:r>
        <m:r>
          <m:t>3</m:t>
        </m:r>
      </m:oMath>
      <w:r>
        <w:t xml:space="preserve"> </w:t>
      </w:r>
      <w:r>
        <w:t xml:space="preserve">(1.347 against 1.640 at</w:t>
      </w:r>
      <w:r>
        <w:t xml:space="preserve"> </w:t>
      </w:r>
      <m:oMath>
        <m:sSub>
          <m:e>
            <m:r>
              <m:t>C</m:t>
            </m:r>
          </m:e>
          <m:sub>
            <m:r>
              <m:t>F</m:t>
            </m:r>
            <m:r>
              <m:t>N</m:t>
            </m:r>
          </m:sub>
        </m:sSub>
        <m:r>
          <m:rPr>
            <m:sty m:val="p"/>
          </m:rPr>
          <m:t>=</m:t>
        </m:r>
        <m:r>
          <m:t>2</m:t>
        </m:r>
      </m:oMath>
      <w:r>
        <w:t xml:space="preserve">). Widening the Medium half-width from 0.25 to 0.45 enlarges the Soft-block band from 646 to 900 alerts and lowers the cost from 3.101 to 3.034, and every width beats both crisp rules.</w:t>
      </w:r>
    </w:p>
    <w:p>
      <w:pPr>
        <w:pStyle w:val="BodyText"/>
      </w:pPr>
      <w:r>
        <w:rPr>
          <w:i/>
          <w:iCs/>
        </w:rPr>
        <w:t xml:space="preserve">Sources and limits of the gain.</w:t>
      </w:r>
      <w:r>
        <w:t xml:space="preserve"> </w:t>
      </w:r>
      <w:r>
        <w:t xml:space="preserve">Crisp bands with cut-points at</w:t>
      </w:r>
      <w:r>
        <w:t xml:space="preserve"> </w:t>
      </w:r>
      <m:oMath>
        <m:r>
          <m:t>p</m:t>
        </m:r>
        <m:r>
          <m:rPr>
            <m:sty m:val="p"/>
          </m:rPr>
          <m:t>=</m:t>
        </m:r>
        <m:r>
          <m:t>9</m:t>
        </m:r>
        <m:r>
          <m:rPr>
            <m:sty m:val="p"/>
          </m:rPr>
          <m:t>/</m:t>
        </m:r>
        <m:r>
          <m:t>32</m:t>
        </m:r>
      </m:oMath>
      <w:r>
        <w:t xml:space="preserve"> </w:t>
      </w:r>
      <w:r>
        <w:t xml:space="preserve">and</w:t>
      </w:r>
      <w:r>
        <w:t xml:space="preserve"> </w:t>
      </w:r>
      <m:oMath>
        <m:r>
          <m:t>23</m:t>
        </m:r>
        <m:r>
          <m:rPr>
            <m:sty m:val="p"/>
          </m:rPr>
          <m:t>/</m:t>
        </m:r>
        <m:r>
          <m:t>32</m:t>
        </m:r>
      </m:oMath>
      <w:r>
        <w:t xml:space="preserve"> </w:t>
      </w:r>
      <w:r>
        <w:t xml:space="preserve">reproduce every action of the rule base (ablations in the Supplementary Material), so the gain comes from the intermediate containment band, while fuzziness adds a graded explanation of each decision. The rule base is not cost-optimal: the Bayes cost rule soft-blocks 8,631 alerts (43% of traffic) and is 0.903 cheaper per alert. Validation tuning moves the threshold only to</w:t>
      </w:r>
      <w:r>
        <w:t xml:space="preserve"> </w:t>
      </w:r>
      <m:oMath>
        <m:r>
          <m:t>t</m:t>
        </m:r>
        <m:r>
          <m:rPr>
            <m:sty m:val="p"/>
          </m:rPr>
          <m:t>=</m:t>
        </m:r>
        <m:r>
          <m:t>0.53</m:t>
        </m:r>
      </m:oMath>
      <w:r>
        <w:t xml:space="preserve"> </w:t>
      </w:r>
      <w:r>
        <w:t xml:space="preserve">(cost 3.278), and only an oracle threshold of 0.10 or lower, chosen on the test set, would beat the rule base (2.929 at</w:t>
      </w:r>
      <w:r>
        <w:t xml:space="preserve"> </w:t>
      </w:r>
      <m:oMath>
        <m:r>
          <m:t>t</m:t>
        </m:r>
        <m:r>
          <m:rPr>
            <m:sty m:val="p"/>
          </m:rPr>
          <m:t>=</m:t>
        </m:r>
        <m:r>
          <m:t>0.01</m:t>
        </m:r>
      </m:oMath>
      <w:r>
        <w:t xml:space="preserve">). On GB scores, the same rules cost 3.004, lower than on MLP scores (</w:t>
      </w:r>
      <m:oMath>
        <m:r>
          <m:t>p</m:t>
        </m:r>
        <m:r>
          <m:rPr>
            <m:sty m:val="p"/>
          </m:rPr>
          <m:t>=</m:t>
        </m:r>
        <m:r>
          <m:t>0.017</m:t>
        </m:r>
      </m:oMath>
      <w:r>
        <w:t xml:space="preserve">), and cut unnecessary escalations from 603 to 222.</w:t>
      </w:r>
    </w:p>
    <w:p>
      <w:pPr>
        <w:pStyle w:val="BodyText"/>
      </w:pPr>
      <w:r>
        <w:rPr>
          <w:i/>
          <w:iCs/>
        </w:rPr>
        <w:t xml:space="preserve">Implications for SOC decision-makers.</w:t>
      </w:r>
      <w:r>
        <w:t xml:space="preserve"> </w:t>
      </w:r>
      <w:r>
        <w:t xml:space="preserve">Detectors should be judged by the decisions they enable: the action rule alone changed the cost by up to 1.242 per alert. Unlike a deferral band [8], Soft-block acts without an analyst, so false containment must be priced before it is automated. The band boundaries give managers a workload lever without retraining, useful when false positives dominate alert streams [2], and logged firing strengths give each action an audit trail that post hoc attributions lack [12,19].</w:t>
      </w:r>
    </w:p>
    <w:p>
      <w:pPr>
        <w:pStyle w:val="BodyText"/>
      </w:pPr>
      <w:r>
        <w:rPr>
          <w:i/>
          <w:iCs/>
        </w:rPr>
        <w:t xml:space="preserve">Limitations.</w:t>
      </w:r>
      <w:r>
        <w:t xml:space="preserve"> </w:t>
      </w:r>
      <w:r>
        <w:t xml:space="preserve">The study has four limitations. First, fixed bands respond to the distribution of the scores, not only to their ranking. Seed 48, the weakest replicate (cost 3.282, coverage 0.626), has a typical ROC-AUC of 0.900 but the lowest accuracy at the 0.5 threshold (0.757). Second, NSL-KDD is a laboratory benchmark released in 2009 [21] that predates modern enterprise and cloud traffic, and it was subsampled under a single protocol. Third, the cost matrix is illustrative rather than elicited from a real SOC, and coverage counts containment as covering an attack. Fourth, there was no deployment, drift analysis or user study.</w:t>
      </w:r>
    </w:p>
    <w:bookmarkEnd w:id="19"/>
    <w:bookmarkStart w:id="20" w:name="conclusion"/>
    <w:p>
      <w:pPr>
        <w:pStyle w:val="Heading1"/>
      </w:pPr>
      <w:r>
        <w:t xml:space="preserve">5. Conclusion</w:t>
      </w:r>
    </w:p>
    <w:p>
      <w:pPr>
        <w:pStyle w:val="FirstParagraph"/>
      </w:pPr>
      <w:r>
        <w:t xml:space="preserve">A fuzzy–neural rule base can serve as a knowledge-based decision layer for alert triage: on NSL-KDD, it achieved lower cost and higher coverage than crisp threshold and capacity rules across seeds, cost ratios and band widths, through its intermediate containment band. Future work will elicit real SOC costs, test the layer in live operation and bound automatic-action errors by conformal classification with a reject option [25].</w:t>
      </w:r>
    </w:p>
    <w:bookmarkEnd w:id="20"/>
    <w:bookmarkStart w:id="23" w:name="data-availability"/>
    <w:p>
      <w:pPr>
        <w:pStyle w:val="Heading1"/>
      </w:pPr>
      <w:r>
        <w:t xml:space="preserve">Data availability</w:t>
      </w:r>
    </w:p>
    <w:p>
      <w:pPr>
        <w:pStyle w:val="FirstParagraph"/>
        <w:jc w:val="left"/>
      </w:pPr>
      <w:r>
        <w:t xml:space="preserve">The code, results (with the ablations in</w:t>
      </w:r>
      <w:r>
        <w:t xml:space="preserve"> </w:t>
      </w:r>
      <w:r>
        <w:rPr>
          <w:rStyle w:val="VerbatimChar"/>
        </w:rPr>
        <w:t xml:space="preserve">table2_decision.csv</w:t>
      </w:r>
      <w:r>
        <w:t xml:space="preserve">) and figure scripts are in the Supplementary Material and at</w:t>
      </w:r>
      <w:r>
        <w:t xml:space="preserve"> </w:t>
      </w:r>
      <w:hyperlink r:id="rId21">
        <w:r>
          <w:rPr>
            <w:rStyle w:val="Hyperlink"/>
          </w:rPr>
          <w:t xml:space="preserve">https://github.com/nithin427/fuzzy-neural-cyber-triage</w:t>
        </w:r>
      </w:hyperlink>
      <w:r>
        <w:t xml:space="preserve">. NSL-KDD is available from the Canadian Institute for Cybersecurity at</w:t>
      </w:r>
      <w:r>
        <w:t xml:space="preserve"> </w:t>
      </w:r>
      <w:hyperlink r:id="rId22">
        <w:r>
          <w:rPr>
            <w:rStyle w:val="Hyperlink"/>
          </w:rPr>
          <w:t xml:space="preserve">https://www.unb.ca/cic/datasets/nsl.html</w:t>
        </w:r>
      </w:hyperlink>
      <w:r>
        <w:t xml:space="preserve"> </w:t>
      </w:r>
      <w:r>
        <w:t xml:space="preserve">[21].</w:t>
      </w:r>
    </w:p>
    <w:bookmarkEnd w:id="23"/>
    <w:bookmarkStart w:id="24" w:name="declaration-of-competing-interest"/>
    <w:p>
      <w:pPr>
        <w:pStyle w:val="Heading1"/>
      </w:pPr>
      <w:r>
        <w:t xml:space="preserve">Declaration of competing interest</w:t>
      </w:r>
    </w:p>
    <w:p>
      <w:pPr>
        <w:pStyle w:val="FirstParagraph"/>
      </w:pPr>
      <w:r>
        <w:t xml:space="preserve">The author declares no known competing financial interests or personal relationships that could have appeared to influence the work reported in this paper.</w:t>
      </w:r>
    </w:p>
    <w:bookmarkEnd w:id="24"/>
    <w:bookmarkStart w:id="25"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 used Grok Bot, an AI-assisted writing and coding tool, to help with language editing, code refactoring, reference checking and formatting. After using this tool, the author reviewed and edited the content as needed and takes full responsibility for the content of the published article.</w:t>
      </w:r>
    </w:p>
    <w:bookmarkEnd w:id="25"/>
    <w:bookmarkStart w:id="26"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26"/>
    <w:bookmarkStart w:id="27" w:name="credit-authorship-contribution-statement"/>
    <w:p>
      <w:pPr>
        <w:pStyle w:val="Heading1"/>
      </w:pPr>
      <w:r>
        <w:t xml:space="preserve">CRediT authorship contribution statement</w:t>
      </w:r>
    </w:p>
    <w:p>
      <w:pPr>
        <w:pStyle w:val="FirstParagraph"/>
      </w:pPr>
      <w:r>
        <w:rPr>
          <w:b/>
          <w:bCs/>
        </w:rPr>
        <w:t xml:space="preserve">Sai Nithin Erigineni:</w:t>
      </w:r>
      <w:r>
        <w:t xml:space="preserve"> </w:t>
      </w:r>
      <w:r>
        <w:t xml:space="preserve">Conceptualization, Methodology, Software, Validation, Formal analysis, Investigation, Data curation, Visualization, Writing – original draft, Writing – review &amp; editing.</w:t>
      </w:r>
    </w:p>
    <w:bookmarkEnd w:id="27"/>
    <w:bookmarkStart w:id="28" w:name="references"/>
    <w:p>
      <w:pPr>
        <w:pStyle w:val="Heading1"/>
      </w:pPr>
      <w:r>
        <w:t xml:space="preserve">References</w:t>
      </w:r>
    </w:p>
    <w:p>
      <w:pPr>
        <w:pStyle w:val="Reference"/>
      </w:pPr>
      <w:r>
        <w:t xml:space="preserve">[1] M. Vielberth, F. Böhm, I. Fichtinger, G. Pernul, Security operations center: A systematic study and open challenges, IEEE Access 8 (2020) 227756–227779. https://doi.org/10.1109/ACCESS.2020.3045514.</w:t>
      </w:r>
    </w:p>
    <w:p>
      <w:pPr>
        <w:pStyle w:val="Reference"/>
      </w:pPr>
      <w:r>
        <w:t xml:space="preserve">[2] H. Albasheer, M. Md Siraj, A. Mubarakali, O. Elsier Tayfour, S. Salih, M. Hamdan, S. Khan, A. Zainal, S. Kamarudeen, Cyber-attack prediction based on network intrusion detection systems for alert correlation techniques: A survey, Sensors 22 (4) (2022) 1494. https://doi.org/10.3390/s22041494.</w:t>
      </w:r>
    </w:p>
    <w:p>
      <w:pPr>
        <w:pStyle w:val="Reference"/>
      </w:pPr>
      <w:r>
        <w:t xml:space="preserve">[3] A. N. Toosi, M. Kahani, A new approach to intrusion detection based on an evolutionary soft computing model using neuro-fuzzy classifiers, Comput. Commun. 30 (10) (2007) 2201–2212. https://doi.org/10.1016/j.comcom.2007.05.002.</w:t>
      </w:r>
    </w:p>
    <w:p>
      <w:pPr>
        <w:pStyle w:val="Reference"/>
      </w:pPr>
      <w:r>
        <w:t xml:space="preserve">[4] A. H. Hamamoto, L. F. Carvalho, L. D. H. Sampaio, T. Abrão, M. L. Proença, Network anomaly detection system using genetic algorithm and fuzzy logic, Expert Syst. Appl. 92 (2018) 390–402. https://doi.org/10.1016/j.eswa.2017.09.013.</w:t>
      </w:r>
    </w:p>
    <w:p>
      <w:pPr>
        <w:pStyle w:val="Reference"/>
      </w:pPr>
      <w:r>
        <w:t xml:space="preserve">[5] R. Vinayakumar, M. Alazab, K. P. Soman, P. Poornachandran, A. Al-Nemrat, S. Venkatraman, Deep learning approach for intelligent intrusion detection system, IEEE Access 7 (2019) 41525–41550. https://doi.org/10.1109/ACCESS.2019.2895334.</w:t>
      </w:r>
    </w:p>
    <w:p>
      <w:pPr>
        <w:pStyle w:val="Reference"/>
      </w:pPr>
      <w:r>
        <w:t xml:space="preserve">[6] T. Su, H. Sun, J. Zhu, S. Wang, Y. Li, BAT: Deep learning methods on network intrusion detection using NSL-KDD dataset, IEEE Access 8 (2020) 29575–29585. https://doi.org/10.1109/ACCESS.2020.2972627.</w:t>
      </w:r>
    </w:p>
    <w:p>
      <w:pPr>
        <w:pStyle w:val="Reference"/>
      </w:pPr>
      <w:r>
        <w:t xml:space="preserve">[7] Y. Yao, Three-way decisions with probabilistic rough sets, Inf. Sci. 180 (3) (2010) 341–353. https://doi.org/10.1016/j.ins.2009.09.021.</w:t>
      </w:r>
    </w:p>
    <w:p>
      <w:pPr>
        <w:pStyle w:val="Reference"/>
      </w:pPr>
      <w:r>
        <w:t xml:space="preserve">[8] F. Jalalvand, M. Baruwal Chhetri, S. Nepal, C. Paris, Adaptive alert prioritisation in security operations centres via learning to defer with human feedback, Inf. Sci. 760 (2027) 124128. https://doi.org/10.1016/j.ins.2026.124128.</w:t>
      </w:r>
    </w:p>
    <w:p>
      <w:pPr>
        <w:pStyle w:val="Reference"/>
      </w:pPr>
      <w:r>
        <w:t xml:space="preserve">[9] X. Wang, X. Yang, X. Liang, X. Zhang, W. Zhang, X. Gong, Combating alert fatigue with AlertPro: Context-aware alert prioritization using reinforcement learning for multi-step attack detection, Comput. Secur. 137 (2024) 103583. https://doi.org/10.1016/j.cose.2023.103583.</w:t>
      </w:r>
    </w:p>
    <w:p>
      <w:pPr>
        <w:pStyle w:val="Reference"/>
      </w:pPr>
      <w:r>
        <w:t xml:space="preserve">[10] N. Gupta, V. Jindal, P. Bedi, CSE-IDS: Using cost-sensitive deep learning and ensemble algorithms to handle class imbalance in network-based intrusion detection systems, Comput. Secur. 112 (2022) 102499. https://doi.org/10.1016/j.cose.2021.102499.</w:t>
      </w:r>
    </w:p>
    <w:p>
      <w:pPr>
        <w:pStyle w:val="Reference"/>
      </w:pPr>
      <w:r>
        <w:t xml:space="preserve">[11] A. Telikani, N. E. Rudbardeh, S. Soleymanpour, A. Shahbahrami, J. Shen, G. Gaydadjiev, R. Hassanpour, A cost-sensitive machine learning model with multitask learning for intrusion detection in IoT, IEEE Trans. Ind. Inform. 20 (3) (2024) 3880–3890. https://doi.org/10.1109/TII.2023.3314208.</w:t>
      </w:r>
    </w:p>
    <w:p>
      <w:pPr>
        <w:pStyle w:val="Reference"/>
      </w:pPr>
      <w:r>
        <w:t xml:space="preserve">[12] M. Wang, K. Zheng, Y. Yang, X. Wang, An explainable machine learning framework for intrusion detection systems, IEEE Access 8 (2020) 73127–73141. https://doi.org/10.1109/ACCESS.2020.2988359.</w:t>
      </w:r>
    </w:p>
    <w:p>
      <w:pPr>
        <w:pStyle w:val="Reference"/>
      </w:pPr>
      <w:r>
        <w:t xml:space="preserve">[13] S. Bag, S. Sarkar, I. Bose, Enhancing cybersecurity risk assessment using temporal knowledge graph-based explainable decision support system, Decis. Support Syst. 198 (2025) 114526. https://doi.org/10.1016/j.dss.2025.114526.</w:t>
      </w:r>
    </w:p>
    <w:p>
      <w:pPr>
        <w:pStyle w:val="Reference"/>
      </w:pPr>
      <w:r>
        <w:t xml:space="preserve">[14] L. A. Zadeh, Fuzzy sets, Inf. Control 8 (3) (1965) 338–353. https://doi.org/10.1016/S0019-9958(65)90241-X.</w:t>
      </w:r>
    </w:p>
    <w:p>
      <w:pPr>
        <w:pStyle w:val="Reference"/>
      </w:pPr>
      <w:r>
        <w:t xml:space="preserve">[15] A. Fernández, F. Herrera, O. Cordón, M. J. del Jesus, F. Marcelloni, Evolutionary fuzzy systems for explainable artificial intelligence: Why, when, what for, and where to?, IEEE Comput. Intell. Mag. 14 (1) (2019) 69–81. https://doi.org/10.1109/MCI.2018.2881645.</w:t>
      </w:r>
    </w:p>
    <w:p>
      <w:pPr>
        <w:pStyle w:val="Reference"/>
      </w:pPr>
      <w:r>
        <w:t xml:space="preserve">[16] M. Alalhareth, S.-C. Hong, An adaptive intrusion detection system in the Internet of Medical Things using fuzzy-based learning, Sensors 23 (22) (2023) 9247. https://doi.org/10.3390/s23229247.</w:t>
      </w:r>
    </w:p>
    <w:p>
      <w:pPr>
        <w:pStyle w:val="Reference"/>
      </w:pPr>
      <w:r>
        <w:t xml:space="preserve">[17] Z.-H. Zhou, X.-Y. Liu, Training cost-sensitive neural networks with methods addressing the class imbalance problem, IEEE Trans. Knowl. Data Eng. 18 (1) (2006) 63–77. https://doi.org/10.1109/TKDE.2006.17.</w:t>
      </w:r>
    </w:p>
    <w:p>
      <w:pPr>
        <w:pStyle w:val="Reference"/>
      </w:pPr>
      <w:r>
        <w:t xml:space="preserve">[18] A. Barredo Arrieta, N. Díaz-Rodríguez, J. Del Ser, A. Bennetot, S. Tabik, A. Barbado, S. Garcia, S. Gil-Lopez, D. Molina, R. Benjamins, R. Chatila, F. Herrera, Explainable artificial intelligence (XAI): Concepts, taxonomies, opportunities and challenges toward responsible AI, Inf. Fusion 58 (2020) 82–115. https://doi.org/10.1016/j.inffus.2019.12.012.</w:t>
      </w:r>
    </w:p>
    <w:p>
      <w:pPr>
        <w:pStyle w:val="Reference"/>
      </w:pPr>
      <w:r>
        <w:t xml:space="preserve">[19] A. Alabbadi, F. Bajaber, An intrusion detection system over the IoT data streams using eXplainable Artificial Intelligence (XAI), Sensors 25 (3) (2025) 847. https://doi.org/10.3390/s25030847.</w:t>
      </w:r>
    </w:p>
    <w:p>
      <w:pPr>
        <w:pStyle w:val="Reference"/>
      </w:pPr>
      <w:r>
        <w:t xml:space="preserve">[20] M. Abdar, F. Pourpanah, S. Hussain, D. Rezazadegan, L. Liu, M. Ghavamzadeh, P. Fieguth, X. Cao, A. Khosravi, U. R. Acharya, V. Makarenkov, S. Nahavandi, A review of uncertainty quantification in deep learning: Techniques, applications and challenges, Inf. Fusion 76 (2021) 243–297. https://doi.org/10.1016/j.inffus.2021.05.008.</w:t>
      </w:r>
    </w:p>
    <w:p>
      <w:pPr>
        <w:pStyle w:val="Reference"/>
      </w:pPr>
      <w:r>
        <w:t xml:space="preserve">[21] M. Tavallaee, E. Bagheri, W. Lu, A. A. Ghorbani, A detailed analysis of the KDD CUP 99 data set, in: Proc. 2009 IEEE Symp. Comput. Intell. Secur. Def. Appl. (CISDA), 2009, pp. 1–6. https://doi.org/10.1109/CISDA.2009.5356528.</w:t>
      </w:r>
    </w:p>
    <w:p>
      <w:pPr>
        <w:pStyle w:val="Reference"/>
      </w:pPr>
      <w:r>
        <w:t xml:space="preserve">[22] J. H. Friedman, Greedy function approximation: A gradient boosting machine, Ann. Stat. 29 (5) (2001) 1189–1232. https://doi.org/10.1214/aos/1013203451.</w:t>
      </w:r>
    </w:p>
    <w:p>
      <w:pPr>
        <w:pStyle w:val="Reference"/>
      </w:pPr>
      <w:r>
        <w:t xml:space="preserve">[23] B. Efron, R. J. Tibshirani, An Introduction to the Bootstrap, Chapman &amp; Hall/CRC, New York, 1994. https://doi.org/10.1201/9780429246593.</w:t>
      </w:r>
    </w:p>
    <w:p>
      <w:pPr>
        <w:pStyle w:val="Reference"/>
      </w:pPr>
      <w:r>
        <w:t xml:space="preserve">[24] F. Wilcoxon, Individual comparisons by ranking methods, Biom. Bull. 1 (6) (1945) 80–83. https://doi.org/10.2307/3001968.</w:t>
      </w:r>
    </w:p>
    <w:p>
      <w:pPr>
        <w:pStyle w:val="Reference"/>
      </w:pPr>
      <w:r>
        <w:t xml:space="preserve">[25] J. Hallberg Szabadváry, T. Löfström, U. Johansson, C. Sönströd, E. Ahlberg, L. Carlsson, Classification with reject option: Distribution-free error guarantees via conformal prediction, Mach. Learn. Appl. 20 (2025) 100664. https://doi.org/10.1016/j.mlwa.2025.100664.</w:t>
      </w:r>
    </w:p>
    <w:bookmarkEnd w:id="28"/>
    <w:sectPr>
      <w:footerReference w:type="default" r:id="rId9"/>
      <w:footnotePr>
        <w:numRestart w:val="eachSect"/>
      </w:footnote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jc w:val="both"/>
    </w:pPr>
    <w:rPr>
      <w:rFonts w:ascii="Times New Roman" w:cs="Times New Roman" w:eastAsia="Times New Roman" w:hAnsi="Times New Roman"/>
      <w:b w:val="0"/>
      <w:i w:val="0"/>
      <w:sz w:val="24"/>
    </w:rPr>
  </w:style>
  <w:style w:styleId="BodyText" w:type="paragraph">
    <w:name w:val="Body Text"/>
    <w:basedOn w:val="Normal"/>
    <w:link w:val="BodyTextChar"/>
    <w:qFormat/>
    <w:pPr>
      <w:spacing w:after="120" w:before="0" w:line="360" w:lineRule="auto"/>
      <w:ind w:firstLine="0"/>
      <w:jc w:val="both"/>
    </w:pPr>
    <w:rPr>
      <w:rFonts w:ascii="Times New Roman" w:cs="Times New Roman" w:eastAsia="Times New Roman" w:hAnsi="Times New Roman"/>
      <w:b w:val="0"/>
      <w:i w:val="0"/>
      <w:sz w:val="24"/>
    </w:rPr>
  </w:style>
  <w:style w:customStyle="1" w:styleId="FirstParagraph" w:type="paragraph">
    <w:name w:val="First Paragraph"/>
    <w:basedOn w:val="BodyText"/>
    <w:next w:val="BodyText"/>
    <w:qFormat/>
    <w:pPr>
      <w:spacing w:after="120" w:before="0" w:line="360" w:lineRule="auto"/>
      <w:ind w:firstLine="0"/>
      <w:jc w:val="both"/>
    </w:pPr>
    <w:rPr>
      <w:rFonts w:ascii="Times New Roman" w:cs="Times New Roman" w:eastAsia="Times New Roman" w:hAnsi="Times New Roman"/>
      <w:b w:val="0"/>
      <w:i w:val="0"/>
      <w:sz w:val="24"/>
    </w:rPr>
  </w:style>
  <w:style w:customStyle="1" w:styleId="Compact" w:type="paragraph">
    <w:name w:val="Compact"/>
    <w:basedOn w:val="BodyText"/>
    <w:qFormat/>
    <w:pPr>
      <w:spacing w:after="0" w:before="0" w:line="240" w:lineRule="auto"/>
      <w:jc w:val="left"/>
    </w:pPr>
    <w:rPr>
      <w:rFonts w:ascii="Times New Roman" w:cs="Times New Roman" w:eastAsia="Times New Roman" w:hAnsi="Times New Roman"/>
      <w:b w:val="0"/>
      <w:i w:val="0"/>
      <w:sz w:val="18"/>
    </w:rPr>
  </w:style>
  <w:style w:styleId="Title" w:type="paragraph">
    <w:name w:val="Title"/>
    <w:basedOn w:val="Normal"/>
    <w:next w:val="BodyText"/>
    <w:link w:val="TitleChar"/>
    <w:uiPriority w:val="10"/>
    <w:qFormat/>
    <w:rsid w:val="00A10FD9"/>
    <w:pPr>
      <w:spacing w:after="240" w:before="0" w:line="276" w:lineRule="auto"/>
      <w:contextualSpacing/>
      <w:jc w:val="center"/>
    </w:pPr>
    <w:rPr>
      <w:rFonts w:ascii="Times New Roman" w:cs="Times New Roman" w:eastAsia="Times New Roman" w:hAnsi="Times New Roman"/>
      <w:b/>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80" w:before="0" w:line="276" w:lineRule="auto"/>
      <w:jc w:val="center"/>
    </w:pPr>
    <w:rPr>
      <w:rFonts w:ascii="Times New Roman" w:cs="Times New Roman" w:eastAsia="Times New Roman" w:hAnsi="Times New Roman"/>
      <w:b w:val="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80" w:before="0" w:line="276" w:lineRule="auto"/>
      <w:jc w:val="center"/>
    </w:pPr>
    <w:rPr>
      <w:rFonts w:ascii="Times New Roman" w:cs="Times New Roman" w:eastAsia="Times New Roman" w:hAnsi="Times New Roman"/>
      <w:b w:val="0"/>
      <w:sz w:val="24"/>
      <w:szCs w:val="24"/>
    </w:rPr>
  </w:style>
  <w:style w:styleId="Date" w:type="paragraph">
    <w:name w:val="Date"/>
    <w:basedOn w:val="Title"/>
    <w:next w:val="BodyText"/>
    <w:qFormat/>
    <w:pPr>
      <w:keepNext/>
      <w:keepLines/>
      <w:spacing w:after="80" w:before="0" w:line="276" w:lineRule="auto"/>
      <w:jc w:val="center"/>
    </w:pPr>
    <w:rPr>
      <w:rFonts w:ascii="Times New Roman" w:cs="Times New Roman" w:eastAsia="Times New Roman" w:hAnsi="Times New Roman"/>
      <w:b w:val="0"/>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40" w:line="276" w:lineRule="auto"/>
      <w:jc w:val="left"/>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76" w:lineRule="auto"/>
      <w:jc w:val="left"/>
      <w:outlineLvl w:val="1"/>
    </w:pPr>
    <w:rPr>
      <w:rFonts w:ascii="Times New Roman" w:cs="Times New Roman" w:eastAsia="Times New Roman" w:hAnsi="Times New Roman"/>
      <w:b/>
      <w:i/>
      <w:sz w:val="24"/>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76" w:lineRule="auto"/>
      <w:jc w:val="left"/>
      <w:outlineLvl w:val="2"/>
    </w:pPr>
    <w:rPr>
      <w:rFonts w:ascii="Times New Roman" w:cs="Times New Roman" w:eastAsia="Times New Roman" w:hAnsi="Times New Roman"/>
      <w:b/>
      <w:i w:val="0"/>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80" w:line="276" w:lineRule="auto"/>
      <w:jc w:val="both"/>
    </w:pPr>
    <w:rPr>
      <w:rFonts w:ascii="Times New Roman" w:cs="Times New Roman" w:eastAsia="Times New Roman" w:hAnsi="Times New Roman"/>
      <w:b w:val="0"/>
      <w:i w:val="0"/>
      <w:sz w:val="20"/>
    </w:rPr>
  </w:style>
  <w:style w:customStyle="1" w:styleId="TableCaption" w:type="paragraph">
    <w:name w:val="Table Caption"/>
    <w:basedOn w:val="Caption"/>
    <w:pPr>
      <w:keepNext/>
      <w:spacing w:after="80" w:before="240" w:line="276" w:lineRule="auto"/>
      <w:jc w:val="both"/>
    </w:pPr>
    <w:rPr>
      <w:rFonts w:ascii="Times New Roman" w:cs="Times New Roman" w:eastAsia="Times New Roman" w:hAnsi="Times New Roman"/>
      <w:b w:val="0"/>
      <w:i w:val="0"/>
      <w:sz w:val="20"/>
    </w:rPr>
  </w:style>
  <w:style w:customStyle="1" w:styleId="ImageCaption" w:type="paragraph">
    <w:name w:val="Image Caption"/>
    <w:basedOn w:val="Caption"/>
    <w:pPr>
      <w:spacing w:after="120" w:before="80" w:line="276" w:lineRule="auto"/>
      <w:jc w:val="both"/>
    </w:pPr>
    <w:rPr>
      <w:rFonts w:ascii="Times New Roman" w:cs="Times New Roman" w:eastAsia="Times New Roman" w:hAnsi="Times New Roman"/>
      <w:b w:val="0"/>
      <w:i w:val="0"/>
      <w:sz w:val="20"/>
    </w:rPr>
  </w:style>
  <w:style w:customStyle="1" w:styleId="Figure" w:type="paragraph">
    <w:name w:val="Figure"/>
    <w:basedOn w:val="Normal"/>
    <w:pPr>
      <w:keepNext/>
      <w:spacing w:after="40" w:before="240" w:line="240" w:lineRule="auto"/>
      <w:jc w:val="center"/>
    </w:pPr>
  </w:style>
  <w:style w:customStyle="1" w:styleId="CaptionedFigure" w:type="paragraph">
    <w:name w:val="Captioned Figure"/>
    <w:basedOn w:val="Figure"/>
    <w:pPr>
      <w:keepNext/>
      <w:spacing w:after="40" w:before="240" w:line="240" w:lineRule="auto"/>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u w:val="non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Affiliation" w:type="paragraph">
    <w:name w:val="Affiliation"/>
    <w:basedOn w:val="Normal"/>
    <w:pPr>
      <w:spacing w:after="120" w:before="0" w:line="276" w:lineRule="auto"/>
      <w:jc w:val="center"/>
    </w:pPr>
    <w:rPr>
      <w:rFonts w:ascii="Times New Roman" w:cs="Times New Roman" w:eastAsia="Times New Roman" w:hAnsi="Times New Roman"/>
      <w:b w:val="0"/>
      <w:i/>
      <w:sz w:val="22"/>
    </w:rPr>
  </w:style>
  <w:style w:customStyle="1" w:styleId="AbstractText" w:type="paragraph">
    <w:name w:val="Abstract Text"/>
    <w:basedOn w:val="Normal"/>
    <w:pPr>
      <w:spacing w:after="120" w:before="0" w:line="312" w:lineRule="auto"/>
      <w:ind w:left="576" w:right="576"/>
      <w:jc w:val="both"/>
    </w:pPr>
    <w:rPr>
      <w:rFonts w:ascii="Times New Roman" w:cs="Times New Roman" w:eastAsia="Times New Roman" w:hAnsi="Times New Roman"/>
      <w:sz w:val="22"/>
    </w:rPr>
  </w:style>
  <w:style w:customStyle="1" w:styleId="Keywords" w:type="paragraph">
    <w:name w:val="Keywords"/>
    <w:basedOn w:val="Normal"/>
    <w:pPr>
      <w:spacing w:after="240" w:before="0" w:line="312" w:lineRule="auto"/>
      <w:ind w:left="576" w:right="576"/>
      <w:jc w:val="left"/>
    </w:pPr>
    <w:rPr>
      <w:rFonts w:ascii="Times New Roman" w:cs="Times New Roman" w:eastAsia="Times New Roman" w:hAnsi="Times New Roman"/>
      <w:sz w:val="22"/>
    </w:rPr>
  </w:style>
  <w:style w:customStyle="1" w:styleId="TableNote" w:type="paragraph">
    <w:name w:val="Table Note"/>
    <w:basedOn w:val="Normal"/>
    <w:pPr>
      <w:spacing w:after="240" w:before="40" w:line="264" w:lineRule="auto"/>
      <w:jc w:val="both"/>
    </w:pPr>
    <w:rPr>
      <w:rFonts w:ascii="Times New Roman" w:cs="Times New Roman" w:eastAsia="Times New Roman" w:hAnsi="Times New Roman"/>
      <w:sz w:val="18"/>
    </w:rPr>
  </w:style>
  <w:style w:customStyle="1" w:styleId="Rule" w:type="paragraph">
    <w:name w:val="Rule"/>
    <w:basedOn w:val="Normal"/>
    <w:pPr>
      <w:spacing w:after="40" w:before="0" w:line="312" w:lineRule="auto"/>
      <w:ind w:left="576"/>
      <w:jc w:val="left"/>
    </w:pPr>
    <w:rPr>
      <w:rFonts w:ascii="Times New Roman" w:cs="Times New Roman" w:eastAsia="Times New Roman" w:hAnsi="Times New Roman"/>
      <w:sz w:val="24"/>
    </w:rPr>
  </w:style>
  <w:style w:customStyle="1" w:styleId="Reference" w:type="paragraph">
    <w:name w:val="Reference"/>
    <w:basedOn w:val="Normal"/>
    <w:pPr>
      <w:tabs>
        <w:tab w:pos="576" w:val="left"/>
      </w:tabs>
      <w:spacing w:after="60" w:before="0" w:line="276" w:lineRule="auto"/>
      <w:ind w:hanging="576" w:left="576"/>
      <w:jc w:val="left"/>
    </w:pPr>
    <w:rPr>
      <w:rFonts w:ascii="Times New Roman" w:cs="Times New Roman" w:eastAsia="Times New Roman" w:hAnsi="Times New Roman"/>
      <w:sz w:val="20"/>
    </w:rPr>
  </w:style>
  <w:style w:customStyle="1" w:styleId="SourceCode" w:type="paragraph">
    <w:name w:val="Source Code"/>
    <w:basedOn w:val="Normal"/>
    <w:rPr>
      <w:rFonts w:ascii="Times New Roman" w:cs="Times New Roman" w:eastAsia="Times New Roman" w:hAnsi="Times New Roman"/>
      <w:sz w:val="20"/>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png"/><Relationship Id="rId16" Type="http://schemas.openxmlformats.org/officeDocument/2006/relationships/image" Target="media/rId16.png"/><Relationship Id="rId21" Type="http://schemas.openxmlformats.org/officeDocument/2006/relationships/hyperlink" Target="https://github.com/nithin427/fuzzy-neural-cyber-triage" TargetMode="External"/><Relationship Id="rId22" Type="http://schemas.openxmlformats.org/officeDocument/2006/relationships/hyperlink" Target="https://www.unb.ca/cic/datasets/nsl.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21" Type="http://schemas.openxmlformats.org/officeDocument/2006/relationships/hyperlink" Target="https://github.com/nithin427/fuzzy-neural-cyber-triage" TargetMode="External"/><Relationship Id="rId22" Type="http://schemas.openxmlformats.org/officeDocument/2006/relationships/hyperlink" Target="https://www.unb.ca/cic/datasets/ns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Fuzzy–Neural Decision Intelligence for Cost-Aware Cyber Alert Triage</dc:title>
  <dc:creator>Sai Nithin Erigineni</dc:creator>
  <cp:keywords/>
  <dcterms:created xsi:type="dcterms:W3CDTF">2026-10-24T16:00:00Z</dcterms:created>
  <dcterms:modified xsi:type="dcterms:W3CDTF">2026-10-24T16:00:00Z</dcterms:modified>
  <cp:lastModifiedBy>Sai Nithin Erigineni</cp:lastModifiedBy>
  <cp:revision>1</cp:revision>
</cp:coreProperties>
</file>

<file path=docProps/custom.xml><?xml version="1.0" encoding="utf-8"?>
<Properties xmlns="http://schemas.openxmlformats.org/officeDocument/2006/custom-properties" xmlns:vt="http://schemas.openxmlformats.org/officeDocument/2006/docPropsVTypes"/>
</file>