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aps/>
          <w:color w:val="C99A2E"/>
          <w:sz w:val="22"/>
          <w:szCs w:val="22"/>
        </w:rPr>
        <w:t xml:space="preserve">Marketing, Launch &amp; Revenue Plan</w:t>
      </w:r>
    </w:p>
    <w:p>
      <w:pPr>
        <w:spacing w:before="200"/>
        <w:jc w:val="center"/>
      </w:pPr>
      <w:r>
        <w:rPr>
          <w:b/>
          <w:bCs/>
          <w:color w:val="1B2A4A"/>
          <w:sz w:val="64"/>
          <w:szCs w:val="64"/>
        </w:rPr>
        <w:t xml:space="preserve">RoadMate</w:t>
      </w:r>
    </w:p>
    <w:p>
      <w:pPr>
        <w:spacing w:after="600" w:before="100"/>
        <w:jc w:val="center"/>
      </w:pPr>
      <w:r>
        <w:rPr>
          <w:i/>
          <w:iCs/>
          <w:color w:val="0E7C7B"/>
          <w:sz w:val="28"/>
          <w:szCs w:val="28"/>
        </w:rPr>
        <w:t xml:space="preserve">Go-to-Market Strategy</w:t>
      </w:r>
    </w:p>
    <w:p>
      <w:pPr>
        <w:spacing w:after="400"/>
        <w:jc w:val="center"/>
      </w:pPr>
      <w:r>
        <w:rPr>
          <w:color w:val="5B6572"/>
          <w:sz w:val="21"/>
          <w:szCs w:val="21"/>
        </w:rPr>
        <w:t xml:space="preserve">Companion to the RoadMate PRD v1.0</w:t>
      </w:r>
    </w:p>
    <w:p>
      <w:pPr>
        <w:spacing w:after="80"/>
        <w:jc w:val="center"/>
      </w:pPr>
      <w:r>
        <w:rPr>
          <w:color w:val="5B6572"/>
          <w:sz w:val="20"/>
          <w:szCs w:val="20"/>
        </w:rPr>
        <w:t xml:space="preserve">Version 1.0</w:t>
      </w:r>
    </w:p>
    <w:p>
      <w:pPr>
        <w:spacing w:after="80"/>
        <w:jc w:val="center"/>
      </w:pPr>
      <w:r>
        <w:rPr>
          <w:color w:val="5B6572"/>
          <w:sz w:val="20"/>
          <w:szCs w:val="20"/>
        </w:rPr>
        <w:t xml:space="preserve">Prepared July 2026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1. Go-to-Market Philosophy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RoadMate's value only exists once there is enough supply density in a small area for search results to feel reliable. The go-to-market plan is therefore supply-first and hyperlocal: win one set of Calicut neighbourhoods completely before expanding, rather than spreading thin across the city on day one.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1.1 Launch sequencing principle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Supply (verified shops/mechanics) is recruited and seeded before any consumer-facing marketing spend, so that the first wave of consumer users who try the product get a genuinely useful result rather than a sparse, disappointing directory.</w:t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2. Pre-Launch (Weeks -6 to 0)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2.1 Supply seeding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Use Google Places data to build an initial long-list of tyre shops, mechanics, battery dealers, and fuel-delivery contacts in the launch neighbourhoods (Section 3.4 of the PRD flags this as needing primary verification, not just scraping).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Visit or call the highest-density category (tyre/puncture shops) first, since that is the single most common breakdown and the best proof-of-concept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Offer free listing enrichment in exchange for accurate hours, pricing bands, and a photo — this is a manual, high-touch process for the first 100–150 listings, not a self-serve flow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Target a minimum viable density before any public launch: at least ~15 verified listings per core category within the launch radius (see PRD Section 15.1 success metric).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2.2 Landing page &amp; waitlist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A simple landing page collects waitlist signups and doubles as an early willingness-to-pay signal for the future Premium Membership (Section 4 open research item in the PRD).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Local SEO groundwork: Google Business Profile presence, city + category landing pages ("tyre puncture shop near Calicut") built for organic search, launched ahead of the product itself.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3. Launch Week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3.1 Channels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63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at launch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 WhatsApp &amp; community groups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Highest-trust channel in Kerala for a hyperlocal service; direct outreach in resident and commuter groups covering the launch neighbourhoods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Instagram/Facebook local ads</w:t>
            </w:r>
          </w:p>
        </w:tc>
        <w:tc>
          <w:tcPr>
            <w:tcW w:type="dxa" w:w="63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Geo-targeted ads within the launch radius, creative built around the "breakdown at night" and "who do I even call" pain points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Shop-partner cross-promotion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Recruited shops display a RoadMate window sticker/QR code, converting their existing walk-in traffic into app awareness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 press / city blogs</w:t>
            </w:r>
          </w:p>
        </w:tc>
        <w:tc>
          <w:tcPr>
            <w:tcW w:type="dxa" w:w="63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Calicut-focused tech/startup story angle: "Google Maps + Swiggy, for the roadside"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College and ride-share/delivery-rider communities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breakdown frequency, high smartphone fluency, strong word-of-mouth propagation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3.2 Launch-week 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Hit the minimum viable listing density in at least 2–3 launch neighbourhoods before any paid promotion begins.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Track the Section 15.1 PRD metrics from day one: weekly active searchers, search→action rate, review submission rate.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Run a manual daily check on "open now" accuracy for the first two weeks — this is the single fastest way to lose first-time-user trust (see PRD Risk table, Section 19).</w:t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4. Post-Launch Growth (Months 1–6)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4.1 Neighbourhood-by-neighbourhood expansion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Rather than opening all of Calicut at once, expand ward-by-ward as each new area reaches the minimum listing density, using the same manual-recruitment playbook proven in launch week. This keeps the "is this actually useful near me" experience consistently strong as the footprint grows.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4.2 Retention loop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Push/SMS re-engagement is deliberately deferred until Phase 2 notifications infrastructure exists; in Phase 1, retention is driven by search quality and word-of-mouth alone.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Shop-side retention: a simple weekly WhatsApp check-in to keep hours/status fresh doubles as a light-touch relationship-management channel until self-serve owner accounts exist.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4.3 SEO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Public, indexable shop-detail pages (Section 2.2's Next.js SSR choice supports this) become long-tail SEO assets — "[category] near [neighbourhood], Calicut" pages.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Structured data (schema.org LocalBusiness) on shop pages to support rich search results.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Content: a small set of practical, non-salesy guides ("what to do if your bike won't start at night") that naturally link into the search flow.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5. Revenue Rollout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Revenue streams and their phase gating are specified in the PRD, Section 4. This section adds the go-to-market sequencing for each.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50"/>
      </w:tblGrid>
      <w:t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3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to switch on</w:t>
            </w:r>
          </w:p>
        </w:tc>
        <w:tc>
          <w:tcPr>
            <w:tcW w:type="dxa" w:w="38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Go-to-market approach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Commission per job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Once booking (Phase 2) has enough completed-job volume that a small commission doesn't suppress adoption</w:t>
            </w:r>
          </w:p>
        </w:tc>
        <w:tc>
          <w:tcPr>
            <w:tcW w:type="dxa" w:w="3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Introduce at a low introductory rate for early-cohort workers, with a transparent published rate card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Featured/Priority listing</w:t>
            </w:r>
          </w:p>
        </w:tc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After Phase 1 organic listing density is established</w:t>
            </w:r>
          </w:p>
        </w:tc>
        <w:tc>
          <w:tcPr>
            <w:tcW w:type="dxa" w:w="3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Offer only to already-verified shops in high-search categories, framed as "get seen first," not pay-to-be-listed-at-all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Premium membership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4, only if landing-page waitlist and Phase 2/3 repeat-usage data support willingness to pay</w:t>
            </w:r>
          </w:p>
        </w:tc>
        <w:tc>
          <w:tcPr>
            <w:tcW w:type="dxa" w:w="3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to the existing active-user base first via in-app upsell, not cold acquisition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Advertising</w:t>
            </w:r>
          </w:p>
        </w:tc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3–4, once there is meaningful traffic to justify sponsor interest</w:t>
            </w:r>
          </w:p>
        </w:tc>
        <w:tc>
          <w:tcPr>
            <w:tcW w:type="dxa" w:w="38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 with category-relevant local sponsors (tyre brands, fuel stations) before opening to generic ad networks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Fleet subscription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4, as a parallel B2B motion</w:t>
            </w:r>
          </w:p>
        </w:tc>
        <w:tc>
          <w:tcPr>
            <w:tcW w:type="dxa" w:w="3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Direct outbound to Calicut-area delivery/logistics businesses, not a self-serve funnel initially</w:t>
            </w:r>
          </w:p>
        </w:tc>
      </w:tr>
    </w:tbl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6. Expansion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9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 to proceed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Calicut (launch city)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Baseline — minimum listing density and Phase 1 success metrics achieved (PRD Section 15.1)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Kochi</w:t>
            </w:r>
          </w:p>
        </w:tc>
        <w:tc>
          <w:tcPr>
            <w:tcW w:type="dxa" w:w="69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Calicut shows sustained repeat usage and a validated recruitment playbook that a small team can replicate without founder-level hand-holding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Trivandrum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Kochi launch replicates Calicut's metrics within a comparable timeframe, confirming the playbook (not just the city) generalizes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Kerala-wide</w:t>
            </w:r>
          </w:p>
        </w:tc>
        <w:tc>
          <w:tcPr>
            <w:tcW w:type="dxa" w:w="69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 least 2 successful city launches with consistent unit economics on commission/listing revenue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India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Kerala-wide operations are profitable or on a clear path, and the worker-verification and payments infrastructure (Phase 2–3) has proven reliable at multi-city scale</w:t>
            </w:r>
          </w:p>
        </w:tc>
      </w:tr>
    </w:tbl>
    <w:p>
      <w:pPr>
        <w:spacing w:after="160" w:line="276"/>
      </w:pPr>
      <w:r>
        <w:rPr>
          <w:color w:val="222222"/>
          <w:sz w:val="21"/>
          <w:szCs w:val="21"/>
        </w:rPr>
        <w:t xml:space="preserve">Each expansion stage reuses the same phased product roadmap (PRD Section 7) rather than requiring a new build — the product's phase gates are about capability maturity, not city count, so a new city launch is a go-to-market exercise, not a re-engineering one.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2"/>
        <w:sz w:val="16"/>
        <w:szCs w:val="16"/>
      </w:rPr>
      <w:t xml:space="preserve">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2"/>
        <w:sz w:val="16"/>
        <w:szCs w:val="16"/>
      </w:rPr>
      <w:t xml:space="preserve">RoadMate — Marketing, Launch &amp; Revenue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2026-07-17T13:18:42.414Z</dcterms:created>
  <dcterms:modified xsi:type="dcterms:W3CDTF">2026-07-17T13:18:42.415Z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