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w:t>
      </w:r>
    </w:p>
    <w:p>
      <w:pPr>
        <w:pStyle w:val="Heading1"/>
      </w:pPr>
      <w:r>
        <w:rPr/>
        <w:t xml:space="preserve">1. Introduction</w:t>
      </w:r>
    </w:p>
    <w:p>
      <w:pPr>
        <w:spacing w:after="140"/>
        <w:jc w:val="both"/>
      </w:pPr>
      <w:r>
        <w:rPr/>
        <w:t xml:space="preserve">A generative adversarial network (GAN) trains two networks against each other. A generator turns random noise into samples, and a discriminator tries to tell real data from generated data. As the discriminator sharpens, the generator is pushed to produce more convincing samples, and at the ideal equilibrium the discriminator can do no better than guess (Goodfellow et al., 2014). This report applies the idea in two stages. Part 1 builds a GAN from scratch in PyTorch on synthetic 2D data, where the learning is visible on a scatter plot. Part 2 then applies GANs to the three problem areas set by the brief: OCT retinal scans in medicine, network-flow records in cybersecurity, and QuickDraw doodles in the creative arts. In each case the report explains why the chosen architecture suits the data and interprets what the trained model produces.</w:t>
      </w:r>
    </w:p>
    <w:p>
      <w:pPr>
        <w:pStyle w:val="Heading1"/>
      </w:pPr>
      <w:r>
        <w:rPr/>
        <w:t xml:space="preserve">2. Part 1: building and understanding GANs from scratch</w:t>
      </w:r>
    </w:p>
    <w:p>
      <w:pPr>
        <w:spacing w:after="140"/>
        <w:jc w:val="both"/>
      </w:pPr>
      <w:r>
        <w:rPr/>
        <w:t xml:space="preserve">All three Part 1 tasks share one fixed training recipe so the comparisons stay controlled. The generator uses BatchNorm (Ioffe and Szegedy, 2015), optimisation is Adam (Kingma and Ba, 2015) with betas of (0.5, 0.999), and training applies one-sided label smoothing with a real target of 0.9 (Salimans et al., 2016). The lower beta1 damps oscillation, and the smoothing stops the discriminator from becoming over-confident and starving the generator of gradient. The latent dimension is 16 and the hidden layers are 64 units wide.</w:t>
      </w:r>
    </w:p>
    <w:p>
      <w:pPr>
        <w:spacing w:after="140"/>
        <w:jc w:val="both"/>
      </w:pPr>
      <w:r>
        <w:rPr/>
        <w:t xml:space="preserve">The first task reproduces the tutorial sine-wave GAN. Points are drawn from y = sin(x) with a little added noise, and a two-layer ReLU generator trains for 5,000 epochs against a LeakyReLU discriminator. The two losses settle into a stable balance, ending at about D = 1.36 and G = 0.83.</w:t>
      </w:r>
    </w:p>
    <w:p>
      <w:pPr>
        <w:jc w:val="center"/>
        <w:spacing w:before="80"/>
      </w:pPr>
      <w:r>
        <w:drawing>
          <wp:inline distT="0" distB="0" distL="0" distR="0">
            <wp:extent cx="2580685"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80685" cy="2194560"/>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In Figure 1 the generated points follow y = sin(x) across the whole domain and thin only slightly at the crests, which confirms the training loop works before I move on to a harder target.</w:t>
      </w:r>
    </w:p>
    <w:p>
      <w:pPr>
        <w:spacing w:after="140"/>
        <w:jc w:val="both"/>
      </w:pPr>
      <w:r>
        <w:rPr/>
        <w:t xml:space="preserve">For the new 2D distribution I chose an Archimedean spiral, sampled with a square-root radius so the points spread evenly and scaled to roughly [-1.3, 1.3]. The spiral is a deliberately awkward target, a thin multi-turn manifold that a plain GAN tends to collapse into a single blob. After 10,000 epochs the generator recovers both arms and the central curl, with D staying in the 1.25 to 1.36 band and G in the 0.80 to 0.86 band throughout. This stability holds only because of the stabilisers, and BatchNorm in particular.</w:t>
      </w:r>
    </w:p>
    <w:p>
      <w:pPr>
        <w:spacing w:after="140"/>
        <w:jc w:val="both"/>
      </w:pPr>
      <w:r>
        <w:rPr/>
        <w:t xml:space="preserve">The third task changes exactly two things and holds everything else fixed. The activation moves from ReLU to LeakyReLU(0.2), and the hidden depth grows from two layers to four. LeakyReLU keeps a gradient for negative inputs, which leaves fewer dead units, and the added depth gives the generator more capacity to bend a thin curve.</w:t>
      </w:r>
    </w:p>
    <w:p>
      <w:pPr>
        <w:jc w:val="center"/>
        <w:spacing w:before="80"/>
      </w:pPr>
      <w:r>
        <w:drawing>
          <wp:inline distT="0" distB="0" distL="0" distR="0">
            <wp:extent cx="4206240" cy="13841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06240" cy="1384189"/>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In Figure 2 the original ReLU depth-2 model scatters stray points off the curve and partly fills the empty centre, while the deeper LeakyReLU model draws a tighter, cleaner spiral. That gain shows up in the losses. The modified generator runs higher and noisier, climbing towards 1.5 to 1.8 and ending near G = 1.19, where the original stayed flat around 0.82. This higher and noisier trace is the expected signature of a larger generator working harder, and the run stays stable throughout.</w:t>
      </w:r>
    </w:p>
    <w:p>
      <w:pPr>
        <w:pStyle w:val="Heading1"/>
      </w:pPr>
      <w:r>
        <w:rPr/>
        <w:t xml:space="preserve">3. Part 2.1: OCTMNIST retinal images (DCGAN, TensorFlow/Keras)</w:t>
      </w:r>
    </w:p>
    <w:p>
      <w:pPr>
        <w:spacing w:after="140"/>
        <w:jc w:val="both"/>
      </w:pPr>
      <w:r>
        <w:rPr/>
        <w:t xml:space="preserve">OCTMNIST comes from MedMNIST v2 (Yang et al., 2023) and holds 97,477 training scans at 28x28 grayscale, spread unevenly across four classes: choroidal neovascularisation, diabetic macular edema, drusen and normal. Every scan shares the same broad structure, a bright curved retinal band sitting over a darker background with faint layering beneath.</w:t>
      </w:r>
    </w:p>
    <w:p>
      <w:pPr>
        <w:spacing w:after="140"/>
        <w:jc w:val="both"/>
      </w:pPr>
      <w:r>
        <w:rPr/>
        <w:t xml:space="preserve">Because that structure is spatial and local, a DCGAN is a better fit than a fully connected GAN (Radford et al., 2016). The generator maps a 100-dimensional latent vector through a dense layer and three Conv2DTranspose blocks, each with BatchNorm and ReLU, up to a 32x32 image with a tanh output, giving about 1.08M parameters. The discriminator mirrors this with strided Conv2D layers, LeakyReLU and 0.3 dropout. Training uses Adam at learning rate 2e-4 with beta1 = 0.5 and label smoothing, run on a 30,000-image subset for 60 epochs.</w:t>
      </w:r>
    </w:p>
    <w:p>
      <w:pPr>
        <w:jc w:val="center"/>
        <w:spacing w:before="80"/>
      </w:pPr>
      <w:r>
        <w:drawing>
          <wp:inline distT="0" distB="0" distL="0" distR="0">
            <wp:extent cx="3993931"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In Figure 3 the generated scans capture the retinal band and vary across the batch, so there is no mode collapse. Their FID (Heusel et al., 2017) is 66.83, which is fairly high and matches the visible blur where the fine sub-layers and speckle are lost. Three things push the number up beyond the raw visual quality: the model saw only 60 epochs on a subset, the scans were upscaled from 28 to 32 pixels, and FID relies on an ImageNet-trained InceptionV3 (Szegedy et al., 2016) that has never seen single-channel medical images.</w:t>
      </w:r>
    </w:p>
    <w:p>
      <w:pPr>
        <w:jc w:val="center"/>
        <w:spacing w:before="80"/>
      </w:pPr>
      <w:r>
        <w:drawing>
          <wp:inline distT="0" distB="0" distL="0" distR="0">
            <wp:extent cx="3855915"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3855915" cy="2194560"/>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Figure 4 shows the discriminator loss staying low, around 0.4 to 0.6, while the generator loss oscillates in the 2 to 5 range without collapsing. The discriminator keeps a modest edge yet never wins outright, so the generator continues to receive usable gradient throughout training.</w:t>
      </w:r>
    </w:p>
    <w:p>
      <w:pPr>
        <w:jc w:val="center"/>
        <w:spacing w:before="80"/>
      </w:pPr>
      <w:r>
        <w:drawing>
          <wp:inline distT="0" distB="0" distL="0" distR="0">
            <wp:extent cx="4206240" cy="97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5. OCTMNIST DCGAN samples across epochs (1, 16, 30, 45, 60).</w:t>
      </w:r>
    </w:p>
    <w:p>
      <w:pPr>
        <w:spacing w:after="140"/>
        <w:jc w:val="both"/>
      </w:pPr>
      <w:r>
        <w:rPr/>
        <w:t xml:space="preserve">In Figure 5 the epoch snapshots move from random texture at epoch 1 to a recognisable layered band by the middle epochs, after which they mainly sharpen. This gradual progression indicates the generator is learning the structure of the scans over time and not copying a single stored image.</w:t>
      </w:r>
    </w:p>
    <w:p>
      <w:pPr>
        <w:spacing w:after="140"/>
        <w:jc w:val="both"/>
      </w:pPr>
      <w:r>
        <w:rPr/>
        <w:t xml:space="preserve">This is exactly the hazard the brief calls generating 'ducks'. If a scan looks like a duck and quacks like one, the discriminator will accept it, because it only ever answers the question 'real or fake' and never 'is this physiologically valid'. The generator can therefore invent a bright band or a lesion-like patch that never occurred in a real patient, either mimicking disease that is absent or smoothing over a genuine anomaly. A synthetic scan must never be used for diagnosis. Its defensible uses are data augmentation and teaching, and any model trained on synthetic scans should be checked against a real-only holdout to confirm it has learned real pathology and not just how to spot GAN artefacts.</w:t>
      </w:r>
    </w:p>
    <w:p>
      <w:pPr>
        <w:spacing w:after="140"/>
        <w:jc w:val="both"/>
      </w:pPr>
      <w:r>
        <w:rPr/>
        <w:t xml:space="preserve">The unconditional model cannot be asked for a specific class. A conditional GAN (Mirza and Osindero, 2014) feeds the label into both networks. For the generator the label is embedded and concatenated with the latent vector, and for the discriminator it enters as an extra image channel, which forces per-class realism. The classes are oversampled so the data are balanced, and the discriminator trains at a slower learning rate, a two-time-scale update that stabilises training (Heusel et al., 2017).</w:t>
      </w:r>
    </w:p>
    <w:p>
      <w:pPr>
        <w:jc w:val="center"/>
        <w:spacing w:before="80"/>
      </w:pPr>
      <w:r>
        <w:drawing>
          <wp:inline distT="0" distB="0" distL="0" distR="0">
            <wp:extent cx="3827026"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3827026" cy="2194560"/>
                    </a:xfrm>
                    <a:prstGeom prst="rect">
                      <a:avLst/>
                    </a:prstGeom>
                  </pic:spPr>
                </pic:pic>
              </a:graphicData>
            </a:graphic>
          </wp:inline>
        </w:drawing>
      </w:r>
    </w:p>
    <w:p>
      <w:pPr>
        <w:jc w:val="center"/>
        <w:spacing w:after="160"/>
        <w:rPr>
          <w:i/>
          <w:sz w:val="18"/>
        </w:rPr>
      </w:pPr>
      <w:r>
        <w:rPr>
          <w:i/>
          <w:sz w:val="18"/>
        </w:rPr>
        <w:t xml:space="preserve">Figure 6. Conditional GAN output, one diagnostic class per row.</w:t>
      </w:r>
    </w:p>
    <w:p>
      <w:pPr>
        <w:spacing w:after="140"/>
        <w:jc w:val="both"/>
      </w:pPr>
      <w:r>
        <w:rPr/>
        <w:t xml:space="preserve">In Figure 6 each row is clearly consistent with its class, so the model can generate a chosen category on demand. Its losses end near D = 0.35 and G = 4.11, similar in character to the unconditional run.</w:t>
      </w:r>
    </w:p>
    <w:p>
      <w:pPr>
        <w:pStyle w:val="Heading1"/>
      </w:pPr>
      <w:r>
        <w:rPr/>
        <w:t xml:space="preserve">4. Part 2.2: synthetic CICIDS2017 network traffic (tabular GAN, PyTorch)</w:t>
      </w:r>
    </w:p>
    <w:p>
      <w:pPr>
        <w:spacing w:after="140"/>
        <w:jc w:val="both"/>
      </w:pPr>
      <w:r>
        <w:rPr/>
        <w:t xml:space="preserve">CICIDS2017 (Sharafaldin et al., 2018) is split across eight day-files that have to be combined. Taken together the data are heavily imbalanced. The 2,273,097 BENIGN flows dwarf even the largest attacks, such as DoS Hulk (231,073), PortScan (158,930) and DDoS (128,027), and the rarest classes fall to a handful of rows, including Infiltration (36), SQL Injection (21) and Heartbleed (11). The main model uses the Wednesday file, which has 692,703 rows over 78 numeric features and drops to 691,406 after infinite and missing values are removed. Wednesday contains 439,683 BENIGN and 251,723 attack flows. From these I take a balanced subsample of 20,000 rows per class, giving 40,000 rows, and standardise the features with a z-score.</w:t>
      </w:r>
    </w:p>
    <w:p>
      <w:pPr>
        <w:spacing w:after="140"/>
        <w:jc w:val="both"/>
      </w:pPr>
      <w:r>
        <w:rPr/>
        <w:t xml:space="preserve">With no spatial grid, a DCGAN would make little sense here, so the model is an MLP GAN that emits the full 78-dimensional vector in one pass. The generator stacks three blocks of BatchNorm and LeakyReLU at 256 units and finishes with a linear output, which suits z-scored features because they are unbounded and a tanh layer would clip them. The discriminator is a 256-unit LeakyReLU MLP with 0.3 dropout. Training mirrors the image parts, using Adam at learning rate 2e-4, BCEWithLogitsLoss and label smoothing. Over 60 epochs the discriminator loss falls smoothly from 1.3548 to 1.0248 while the generator loss rises from 0.8257 to 1.3455, a slow and stable separation with no collapse.</w:t>
      </w:r>
    </w:p>
    <w:p>
      <w:pPr>
        <w:jc w:val="center"/>
        <w:spacing w:before="80"/>
      </w:pPr>
      <w:r>
        <w:drawing>
          <wp:inline distT="0" distB="0" distL="0" distR="0">
            <wp:extent cx="24885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2488510" cy="2194560"/>
                    </a:xfrm>
                    <a:prstGeom prst="rect">
                      <a:avLst/>
                    </a:prstGeom>
                  </pic:spPr>
                </pic:pic>
              </a:graphicData>
            </a:graphic>
          </wp:inline>
        </w:drawing>
      </w:r>
    </w:p>
    <w:p>
      <w:pPr>
        <w:jc w:val="center"/>
        <w:spacing w:after="160"/>
        <w:rPr>
          <w:i/>
          <w:sz w:val="18"/>
        </w:rPr>
      </w:pPr>
      <w:r>
        <w:rPr>
          <w:i/>
          <w:sz w:val="18"/>
        </w:rPr>
        <w:t xml:space="preserve">Figure 7. PCA of real (blue) vs generated (red) flow vectors.</w:t>
      </w:r>
    </w:p>
    <w:p>
      <w:pPr>
        <w:spacing w:after="140"/>
        <w:jc w:val="both"/>
      </w:pPr>
      <w:r>
        <w:rPr/>
        <w:t xml:space="preserve">In the PCA projection of Figure 7 (Jolliffe, 2002), and equally in t-SNE (van der Maaten and Hinton, 2008), the generated cloud sits on the main body of the real points but is more concentrated, so it captures where most traffic lives without reaching out to the tails. The numbers say the same thing. The mean absolute error on the feature means is a healthy 0.0723 in standardised units, while the error on the standard deviations is a weaker 0.3179, so the averages are matched much more closely than the spread. The worst-aligned columns are timing and flag features, including FIN Flag Count, the Bwd IAT group and Destination Port. For the near-binary flags the generated standard deviation almost disappears, for example URG Flag Count at 0.030 and Fwd PSH Flags at 0.024 against real values near 0.9 to 1.0, which is a partial mode collapse on the discrete features.</w:t>
      </w:r>
    </w:p>
    <w:p>
      <w:pPr>
        <w:jc w:val="center"/>
        <w:spacing w:before="80"/>
      </w:pPr>
      <w:r>
        <w:drawing>
          <wp:inline distT="0" distB="0" distL="0" distR="0">
            <wp:extent cx="2507473" cy="2194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2507473" cy="2194560"/>
                    </a:xfrm>
                    <a:prstGeom prst="rect">
                      <a:avLst/>
                    </a:prstGeom>
                  </pic:spPr>
                </pic:pic>
              </a:graphicData>
            </a:graphic>
          </wp:inline>
        </w:drawing>
      </w:r>
    </w:p>
    <w:p>
      <w:pPr>
        <w:jc w:val="center"/>
        <w:spacing w:after="160"/>
        <w:rPr>
          <w:i/>
          <w:sz w:val="18"/>
        </w:rPr>
      </w:pPr>
      <w:r>
        <w:rPr>
          <w:i/>
          <w:sz w:val="18"/>
        </w:rPr>
        <w:t xml:space="preserve">Figure 8. t-SNE of real (blue) vs generated (red) flow vectors.</w:t>
      </w:r>
    </w:p>
    <w:p>
      <w:pPr>
        <w:spacing w:after="140"/>
        <w:jc w:val="both"/>
      </w:pPr>
      <w:r>
        <w:rPr/>
        <w:t xml:space="preserve">Figure 8 makes this clearer, since t-SNE separates the local clusters that PCA blurs together, and the generated points still land on the main real clusters while packing slightly more tightly, which is the same story the alignment numbers tell.</w:t>
      </w:r>
    </w:p>
    <w:p>
      <w:pPr>
        <w:spacing w:after="140"/>
        <w:jc w:val="both"/>
      </w:pPr>
      <w:r>
        <w:rPr/>
        <w:t xml:space="preserve">The duck test bites harder here. A generated flow only has to look like plausible traffic, which is a much weaker bar than reproducing a real attack's timing, packet structure and flag sequences. If such data were used to augment an intrusion detection system, a fabricated 'attack' that matches no real signature could teach the model to miss genuine attacks, while a fabricated 'benign' flow drifting towards attack behaviour could raise false positives. There is no visual sanity check for 78 numbers as there was for the OCT scans, so the burden falls entirely on quantitative checks, and the flag collapse shows those checks can look healthy while hiding a behavioural failure. One point on wording: the Wednesday file holds DoS variants, and despite the brief's phrasing the genuine DDoS traffic lives in the Friday file, which the extension uses next.</w:t>
      </w:r>
    </w:p>
    <w:p>
      <w:pPr>
        <w:jc w:val="center"/>
        <w:spacing w:before="80"/>
      </w:pPr>
      <w:r>
        <w:drawing>
          <wp:inline distT="0" distB="0" distL="0" distR="0">
            <wp:extent cx="4206240" cy="19220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4206240" cy="1922013"/>
                    </a:xfrm>
                    <a:prstGeom prst="rect">
                      <a:avLst/>
                    </a:prstGeom>
                  </pic:spPr>
                </pic:pic>
              </a:graphicData>
            </a:graphic>
          </wp:inline>
        </w:drawing>
      </w:r>
    </w:p>
    <w:p>
      <w:pPr>
        <w:jc w:val="center"/>
        <w:spacing w:after="160"/>
        <w:rPr>
          <w:i/>
          <w:sz w:val="18"/>
        </w:rPr>
      </w:pPr>
      <w:r>
        <w:rPr>
          <w:i/>
          <w:sz w:val="18"/>
        </w:rPr>
        <w:t xml:space="preserve">Figure 9. All-days PCA coloured by attack type (left) and real-vs-generated (right).</w:t>
      </w:r>
    </w:p>
    <w:p>
      <w:pPr>
        <w:spacing w:after="140"/>
        <w:jc w:val="both"/>
      </w:pPr>
      <w:r>
        <w:rPr/>
        <w:t xml:space="preserve">Combining all eight days, with per-file capping, gives 125,310 rows that span every attack family, shown in Figure 9. The generator covers the dense centre well, including BENIGN, DoS Hulk and true DDoS, but it under-represents the smaller clusters. The telling result is that adding this diversity made the alignment worse. The mean absolute error on means rose from 0.0723 to 0.1141, and on standard deviations from 0.3179 to 0.3544. Asking one unconditional generator to cover many modes at once cost more than the extra data returned, so the model does not generalise cleanly. A class-conditional GAN, or a separate model per attack family, is the clear next step.</w:t>
      </w:r>
    </w:p>
    <w:p>
      <w:pPr>
        <w:pStyle w:val="Heading1"/>
      </w:pPr>
      <w:r>
        <w:rPr/>
        <w:t xml:space="preserve">5. Part 2.3: creative AI with QuickDraw birthday-cake sketches (DCGAN, TensorFlow/Keras)</w:t>
      </w:r>
    </w:p>
    <w:p>
      <w:pPr>
        <w:spacing w:after="140"/>
        <w:jc w:val="both"/>
      </w:pPr>
      <w:r>
        <w:rPr/>
        <w:t xml:space="preserve">QuickDraw (Ha and Eck, 2018; Google Creative Lab) supplies 28x28 grayscale doodles drawn as high-contrast line art on a black ground. The birthday-cake category holds 144,982 sketches, which usually show a cake body, a few candles and often a plate line.</w:t>
      </w:r>
    </w:p>
    <w:p>
      <w:pPr>
        <w:spacing w:after="140"/>
        <w:jc w:val="both"/>
      </w:pPr>
      <w:r>
        <w:rPr/>
        <w:t xml:space="preserve">A doodle is defined by where its strokes fall, which is again local spatial structure, so the DCGAN builders from Part 2.1 apply directly. Reusing them across two very different domains is itself a useful check on the code. The one change is a larger 128-dimensional latent vector to cover the greater variety of shapes. Training uses Adam at learning rate 2e-4 with label smoothing, on 30,000 images for 50 epochs.</w:t>
      </w:r>
    </w:p>
    <w:p>
      <w:pPr>
        <w:jc w:val="center"/>
        <w:spacing w:before="80"/>
      </w:pPr>
      <w:r>
        <w:drawing>
          <wp:inline distT="0" distB="0" distL="0" distR="0">
            <wp:extent cx="3900816"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3900816" cy="2194560"/>
                    </a:xfrm>
                    <a:prstGeom prst="rect">
                      <a:avLst/>
                    </a:prstGeom>
                  </pic:spPr>
                </pic:pic>
              </a:graphicData>
            </a:graphic>
          </wp:inline>
        </w:drawing>
      </w:r>
    </w:p>
    <w:p>
      <w:pPr>
        <w:jc w:val="center"/>
        <w:spacing w:after="160"/>
        <w:rPr>
          <w:i/>
          <w:sz w:val="18"/>
        </w:rPr>
      </w:pPr>
      <w:r>
        <w:rPr>
          <w:i/>
          <w:sz w:val="18"/>
        </w:rPr>
        <w:t xml:space="preserve">Figure 10. QuickDraw DCGAN training loss curves.</w:t>
      </w:r>
    </w:p>
    <w:p>
      <w:pPr>
        <w:spacing w:after="140"/>
        <w:jc w:val="both"/>
      </w:pPr>
      <w:r>
        <w:rPr/>
        <w:t xml:space="preserve">Figure 10 shows the discriminator loss staying low, around 0.34 to 0.9, while the generator loss swings through 1.3 to 6.1 as the two sides trade the advantage. With no runaway spike and no flat-lined trace, the adversarial training is stable across all 50 epochs and shows no collapse.</w:t>
      </w:r>
    </w:p>
    <w:p>
      <w:pPr>
        <w:jc w:val="center"/>
        <w:spacing w:before="80"/>
      </w:pPr>
      <w:r>
        <w:drawing>
          <wp:inline distT="0" distB="0" distL="0" distR="0">
            <wp:extent cx="3993931"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3993931" cy="2194560"/>
                    </a:xfrm>
                    <a:prstGeom prst="rect">
                      <a:avLst/>
                    </a:prstGeom>
                  </pic:spPr>
                </pic:pic>
              </a:graphicData>
            </a:graphic>
          </wp:inline>
        </w:drawing>
      </w:r>
    </w:p>
    <w:p>
      <w:pPr>
        <w:jc w:val="center"/>
        <w:spacing w:after="160"/>
        <w:rPr>
          <w:i/>
          <w:sz w:val="18"/>
        </w:rPr>
      </w:pPr>
      <w:r>
        <w:rPr>
          <w:i/>
          <w:sz w:val="18"/>
        </w:rPr>
        <w:t xml:space="preserve">Figure 11. Real (left) vs generated (right) birthday-cake sketches.</w:t>
      </w:r>
    </w:p>
    <w:p>
      <w:pPr>
        <w:spacing w:after="140"/>
        <w:jc w:val="both"/>
      </w:pPr>
      <w:r>
        <w:rPr/>
        <w:t xml:space="preserve">In Figure 11 the final cakes are easy to read and vary across the grid, so there is no mode collapse. The remaining flaws are the usual line-art ones, mainly broken or doubled strokes and a little speckle. The FID here is 32.59, well below the OCT scans' 66.83, which fits the intuition that clean line art on a plain background sits more comfortably in InceptionV3's feature space than soft medical texture does.</w:t>
      </w:r>
    </w:p>
    <w:p>
      <w:pPr>
        <w:jc w:val="center"/>
        <w:spacing w:before="80"/>
      </w:pPr>
      <w:r>
        <w:drawing>
          <wp:inline distT="0" distB="0" distL="0" distR="0">
            <wp:extent cx="4206240" cy="978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4206240" cy="978609"/>
                    </a:xfrm>
                    <a:prstGeom prst="rect">
                      <a:avLst/>
                    </a:prstGeom>
                  </pic:spPr>
                </pic:pic>
              </a:graphicData>
            </a:graphic>
          </wp:inline>
        </w:drawing>
      </w:r>
    </w:p>
    <w:p>
      <w:pPr>
        <w:jc w:val="center"/>
        <w:spacing w:after="160"/>
        <w:rPr>
          <w:i/>
          <w:sz w:val="18"/>
        </w:rPr>
      </w:pPr>
      <w:r>
        <w:rPr>
          <w:i/>
          <w:sz w:val="18"/>
        </w:rPr>
        <w:t xml:space="preserve">Figure 12. Generated cake samples across epochs (1, 13, 26, 38, 50).</w:t>
      </w:r>
    </w:p>
    <w:p>
      <w:pPr>
        <w:spacing w:after="140"/>
        <w:jc w:val="both"/>
      </w:pPr>
      <w:r>
        <w:rPr/>
        <w:t xml:space="preserve">In Figure 12 the progression shows the outline and candles appearing early and then sharpening, which is evidence that the generator is learning cake structure and not memorising a fixed example.</w:t>
      </w:r>
    </w:p>
    <w:p>
      <w:pPr>
        <w:jc w:val="center"/>
        <w:spacing w:before="80"/>
      </w:pPr>
      <w:r>
        <w:drawing>
          <wp:inline distT="0" distB="0" distL="0" distR="0">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after="160"/>
        <w:rPr>
          <w:i/>
          <w:sz w:val="18"/>
        </w:rPr>
      </w:pPr>
      <w:r>
        <w:rPr>
          <w:i/>
          <w:sz w:val="18"/>
        </w:rPr>
        <w:t xml:space="preserve">Figure 13. FID by category (left) vs mean ink density (right).</w:t>
      </w:r>
    </w:p>
    <w:p>
      <w:pPr>
        <w:spacing w:after="140"/>
        <w:jc w:val="both"/>
      </w:pPr>
      <w:r>
        <w:rPr/>
        <w:t xml:space="preserve">Training the same DCGAN on cat and house lets me weigh FID against a cheap complexity proxy, the mean ink density, with both plotted in Figure 13. The two orderings differ. By FID the ranking is house (24.75), then cake (32.59), then cat (41.09), while by ink density it runs house (0.2368), then cat (0.2655), then cake (0.2708). House is the easiest on both measures by a clear margin, yet cake scores better than cat despite having the highest ink density, so ink coverage on its own does not predict difficulty. A house is essentially a square plus a triangle, close to a fixed template, which is why it is easiest. Cats vary most in pose and outline and come out hardest, with cakes in between, so structural variety drives difficulty more directly than raw ink coverage.</w:t>
      </w:r>
    </w:p>
    <w:p>
      <w:pPr>
        <w:pStyle w:val="Heading1"/>
      </w:pPr>
      <w:r>
        <w:rPr/>
        <w:t xml:space="preserve">6. Conclusion</w:t>
      </w:r>
    </w:p>
    <w:p>
      <w:pPr>
        <w:spacing w:after="140"/>
        <w:jc w:val="both"/>
      </w:pPr>
      <w:r>
        <w:rPr/>
        <w:t xml:space="preserve">Table 1 draws the results together by showing how each GAN scored on the yardstick that suits its own domain. The image GANs line up as their visual quality suggests. The clean, high-contrast QuickDraw sketches beat the soft, texture-heavy OCT scans on FID, and within QuickDraw the structurally repetitive house is easiest by a wide margin. The tabular GAN, judged on distribution alignment, shows the reverse of the usual 'more data helps' intuition, because widening the training set from one day to all eight nearly doubles the mean gap and inflates the variance gap, which puts a clear number on the generalisation failure.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66.83</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0.35 / 4.11</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32.59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41.09</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24.75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0.1141 / 0.3544</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Across the four experiments the pattern is consistent. Once stabilised, the GANs reproduce the dominant structure of a distribution and avoid mode collapse, but they lose the tails and the fine detail. This appears as thinning at the sine and spiral peaks, blur in the OCT scans at FID 66.83, collapsed variance on the binary flag features with a standard-deviation gap of 0.3179 that widens to 0.3544 across all days, and broken strokes in the sketches. Two results stand out. The multi-day cybersecurity GAN generalised worse than the single-day model, and in the creative task structural variety predicted difficulty better than ink density did. The recurring duck-test hazard means none of this synthetic data should be trusted downstream without validation.</w:t>
      </w:r>
    </w:p>
    <w:p>
      <w:pPr>
        <w:spacing w:after="140"/>
        <w:jc w:val="both"/>
      </w:pPr>
      <w:r>
        <w:rPr/>
        <w:t xml:space="preserve">Several extensions would help. A Wasserstein objective with a gradient penalty would give smoother gradients and better coverage of the tails. Class-conditional models, or one model per attack family, would address the multi-attack generalisation failure. A mixed discrete and continuous architecture in the style of CTGAN would target the flag-feature collapse in the tabular data. Finally, a domain-appropriate feature extractor for FID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