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FC8C" w14:textId="77777777" w:rsidR="004772C6" w:rsidRPr="00CB69DF" w:rsidRDefault="00000000" w:rsidP="00CB69DF">
      <w:pPr>
        <w:spacing w:before="120" w:after="200"/>
        <w:jc w:val="center"/>
        <w:rPr>
          <w:rFonts w:ascii="Times New Roman" w:hAnsi="Times New Roman" w:cs="Times New Roman"/>
          <w:sz w:val="32"/>
          <w:szCs w:val="32"/>
        </w:rPr>
      </w:pPr>
      <w:r w:rsidRPr="00CB69DF">
        <w:rPr>
          <w:rFonts w:ascii="Times New Roman" w:hAnsi="Times New Roman" w:cs="Times New Roman"/>
          <w:b/>
          <w:sz w:val="32"/>
          <w:szCs w:val="32"/>
        </w:rPr>
        <w:t>Generative Adversarial Networks: From Synthetic 2D Data to Medical, Cybersecurity and Creative Applications</w:t>
      </w:r>
    </w:p>
    <w:p w14:paraId="29615011" w14:textId="77777777" w:rsidR="00CB69DF" w:rsidRDefault="00CB69DF" w:rsidP="00CB69DF">
      <w:pPr>
        <w:spacing w:before="240" w:after="100"/>
        <w:jc w:val="both"/>
        <w:rPr>
          <w:rFonts w:ascii="Times New Roman" w:hAnsi="Times New Roman" w:cs="Times New Roman"/>
          <w:b/>
        </w:rPr>
      </w:pPr>
      <w:r>
        <w:rPr>
          <w:rFonts w:ascii="Times New Roman" w:hAnsi="Times New Roman" w:cs="Times New Roman"/>
          <w:b/>
        </w:rPr>
        <w:t xml:space="preserve">Student Name: </w:t>
      </w:r>
    </w:p>
    <w:p w14:paraId="1549616A" w14:textId="77777777" w:rsidR="00CB69DF" w:rsidRDefault="00CB69DF" w:rsidP="00CB69DF">
      <w:pPr>
        <w:spacing w:before="240" w:after="100"/>
        <w:jc w:val="both"/>
        <w:rPr>
          <w:rFonts w:ascii="Times New Roman" w:hAnsi="Times New Roman" w:cs="Times New Roman"/>
          <w:b/>
        </w:rPr>
      </w:pPr>
      <w:r>
        <w:rPr>
          <w:rFonts w:ascii="Times New Roman" w:hAnsi="Times New Roman" w:cs="Times New Roman"/>
          <w:b/>
        </w:rPr>
        <w:t>Student ID:</w:t>
      </w:r>
    </w:p>
    <w:p w14:paraId="3B2ACCB1" w14:textId="77777777" w:rsidR="00CB69DF" w:rsidRDefault="00CB69DF" w:rsidP="00CB69DF">
      <w:pPr>
        <w:spacing w:before="240" w:after="100"/>
        <w:jc w:val="both"/>
        <w:rPr>
          <w:rFonts w:ascii="Times New Roman" w:hAnsi="Times New Roman" w:cs="Times New Roman"/>
          <w:b/>
        </w:rPr>
      </w:pPr>
      <w:r>
        <w:rPr>
          <w:rFonts w:ascii="Times New Roman" w:hAnsi="Times New Roman" w:cs="Times New Roman"/>
          <w:b/>
        </w:rPr>
        <w:t>Github URL: https://github.com/nithinreddy2003/GAN_Assignments</w:t>
      </w:r>
    </w:p>
    <w:p w14:paraId="73FB6A14" w14:textId="77777777" w:rsidR="00CB69DF" w:rsidRDefault="00CB69DF" w:rsidP="00CB69DF">
      <w:pPr>
        <w:spacing w:before="240" w:after="100"/>
        <w:jc w:val="both"/>
        <w:rPr>
          <w:rFonts w:ascii="Times New Roman" w:hAnsi="Times New Roman" w:cs="Times New Roman"/>
          <w:b/>
        </w:rPr>
      </w:pPr>
    </w:p>
    <w:p w14:paraId="250AEB74" w14:textId="77777777" w:rsidR="00213087" w:rsidRDefault="00213087" w:rsidP="00CB69DF">
      <w:pPr>
        <w:spacing w:before="240" w:after="100"/>
        <w:jc w:val="both"/>
        <w:rPr>
          <w:rFonts w:ascii="Times New Roman" w:hAnsi="Times New Roman" w:cs="Times New Roman"/>
          <w:b/>
        </w:rPr>
      </w:pPr>
    </w:p>
    <w:p w14:paraId="6BD922AA" w14:textId="77777777" w:rsidR="00213087" w:rsidRDefault="00213087" w:rsidP="00CB69DF">
      <w:pPr>
        <w:spacing w:before="240" w:after="100"/>
        <w:jc w:val="both"/>
        <w:rPr>
          <w:rFonts w:ascii="Times New Roman" w:hAnsi="Times New Roman" w:cs="Times New Roman"/>
          <w:b/>
        </w:rPr>
      </w:pPr>
    </w:p>
    <w:p w14:paraId="60E2EDE6" w14:textId="77777777" w:rsidR="00213087" w:rsidRDefault="00213087">
      <w:pPr>
        <w:spacing w:before="240" w:after="100"/>
        <w:jc w:val="both"/>
        <w:rPr>
          <w:rFonts w:ascii="Times New Roman" w:hAnsi="Times New Roman" w:cs="Times New Roman"/>
          <w:b/>
        </w:rPr>
      </w:pPr>
    </w:p>
    <w:p w14:paraId="0F2181EC" w14:textId="06CF7C5F" w:rsidR="00005985" w:rsidRDefault="00000000">
      <w:pPr>
        <w:spacing w:before="240" w:after="100"/>
        <w:jc w:val="both"/>
        <w:rPr>
          <w:rFonts w:ascii="Times New Roman" w:hAnsi="Times New Roman" w:cs="Times New Roman"/>
        </w:rPr>
      </w:pPr>
      <w:r>
        <w:rPr>
          <w:rFonts w:ascii="Times New Roman" w:hAnsi="Times New Roman" w:cs="Times New Roman"/>
          <w:b/>
        </w:rPr>
        <w:t>1. Introduction</w:t>
      </w:r>
    </w:p>
    <w:p w14:paraId="1381E991"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This report studies generative adversarial networks (GANs) through the lens of how their output is evaluated. A GAN pairs a generator, which maps noise to samples, against a discriminator, which separates real data from generated data; trained together in a minimax game, the generated distribution should converge on the real one (Goodfellow et al., 2014). The harder question in practice is not whether a GAN trains, but how convincingly its samples match the target, and that question is answered differently for pictures, feature vectors and sketches. The report therefore leads with an evaluation strategy and then applies it to four datasets: synthetic 2D data, OCTMNIST retinal scans, CICIDS 2017 network flows and QuickDraw sketches. Every figure and number below comes directly from the notebook, and a fixed seed (42) is re-applied before each run for reproducibility.</w:t>
      </w:r>
    </w:p>
    <w:p w14:paraId="79EA274E"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t>2. Methods and evaluation strategy</w:t>
      </w:r>
    </w:p>
    <w:p w14:paraId="26F2CE0E"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All models share one adversarial core. The generator and discriminator are optimised with the non-saturating objective through binary cross-entropy on logits, which avoids the early vanishing gradients of the original minimax loss (Goodfellow et al., 2014), using Adam and one-sided label smoothing (a real target of 0.9) to keep the discriminator from becoming over-confident. The network family then follows the data: multi-layer perceptrons for 2D points and tabular flows, where there is no spatial grid for a convolution to exploit, and deep convolutional GANs (DCGANs) for images, where strided and transposed convolutions with batch normalisation match local spatial structure and a weight-init recipe stabilises training (Radford, Metz and Chintala, 2015). Parts 1, 2.1 and 2.2 are written in PyTorch and Part 2.3 in TensorFlow/Keras, to show both frameworks.</w:t>
      </w:r>
    </w:p>
    <w:p w14:paraId="4BD7A628"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Three evaluation tools recur throughout, chosen because each interrogates a different failure mode. For images, the Frechet Inception Distance (FID) compares InceptionV3 feature statistics between real and generated sets (Heusel et al., 2017); it is read as directional rather than absolute here, because InceptionV3 was trained on natural RGB photographs and not on greyscale scans or line art. For the tabular model, where a 78-number vector cannot be eyeballed, alignment is judged two ways: PCA gives a quick linear projection and t-SNE a non-linear view of local structure (van der Maaten and Hinton, 2008), while the average absolute per-feature gap on the means and on the standard deviations puts a number on how closely the synthetic moments track the real ones. Watching for mode collapse, whether a generator covers the whole distribution or only part of it, sits behind all three.</w:t>
      </w:r>
    </w:p>
    <w:p w14:paraId="2B0E39C7"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lastRenderedPageBreak/>
        <w:t>3. Foundations on 2D data</w:t>
      </w:r>
    </w:p>
    <w:p w14:paraId="5BCB5AB0"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Part 1 builds the machinery from scratch on controllable 2D targets, where success can be judged by eye. The baseline is a 16-dimensional latent vector feeding a width-128, depth-2 ReLU network, trained for 6,000 steps against y = sin(x) on [-pi, pi], mainly as a sanity check on the shared code.</w:t>
      </w:r>
    </w:p>
    <w:p w14:paraId="2362F226" w14:textId="13CB1ADA"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noProof/>
          <w:sz w:val="20"/>
          <w:szCs w:val="20"/>
        </w:rPr>
        <w:drawing>
          <wp:inline distT="0" distB="0" distL="0" distR="0" wp14:anchorId="2408D80C" wp14:editId="0AA9BB3C">
            <wp:extent cx="1901371" cy="1940538"/>
            <wp:effectExtent l="0" t="0" r="3810" b="3175"/>
            <wp:docPr id="169230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03641" name=""/>
                    <pic:cNvPicPr/>
                  </pic:nvPicPr>
                  <pic:blipFill>
                    <a:blip r:embed="rId4"/>
                    <a:stretch>
                      <a:fillRect/>
                    </a:stretch>
                  </pic:blipFill>
                  <pic:spPr>
                    <a:xfrm>
                      <a:off x="0" y="0"/>
                      <a:ext cx="1951674" cy="1991877"/>
                    </a:xfrm>
                    <a:prstGeom prst="rect">
                      <a:avLst/>
                    </a:prstGeom>
                  </pic:spPr>
                </pic:pic>
              </a:graphicData>
            </a:graphic>
          </wp:inline>
        </w:drawing>
      </w:r>
    </w:p>
    <w:p w14:paraId="25F057F9"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1. Real versus generated samples for the sine-wave GAN.</w:t>
      </w:r>
    </w:p>
    <w:p w14:paraId="106BBFD4"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1 shows generated points lying along the true curve, with only minor scatter near the turning points where the nonlinearity is greatest. The losses settle at equilibrium and hold, with the discriminator around 1.38 and the generator around 0.70 (final D=1.3778, G=0.6964). A discriminator loss near 2*ln(2), about 1.386, signals a balanced game in which it can no longer separate real from fake, so the pipeline behaves as intended.</w:t>
      </w:r>
    </w:p>
    <w:p w14:paraId="10AAEFBA"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For the new distribution I chose a mixture of Gaussians: eight isotropic modes on a ring of radius 2.0 with per-mode standard deviation 0.05, trained for 8,000 steps. A ring of well-separated modes is the standard probe for mode collapse, since a collapsed generator would cover only some of the eight blobs. The architecture task then changes only the network, moving from the 2x128 ReLU baseline to a deeper, wider 4x256 network with the self-normalising SELU activation (Klambauer et al., 2017), which keeps activations well-scaled in deeper stacks.</w:t>
      </w:r>
    </w:p>
    <w:p w14:paraId="08BB5F88" w14:textId="3CAE648F"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noProof/>
          <w:sz w:val="20"/>
          <w:szCs w:val="20"/>
        </w:rPr>
        <w:drawing>
          <wp:inline distT="0" distB="0" distL="0" distR="0" wp14:anchorId="40198F1E" wp14:editId="1560C81B">
            <wp:extent cx="3526971" cy="1885196"/>
            <wp:effectExtent l="0" t="0" r="0" b="1270"/>
            <wp:docPr id="41095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59947" name=""/>
                    <pic:cNvPicPr/>
                  </pic:nvPicPr>
                  <pic:blipFill>
                    <a:blip r:embed="rId5"/>
                    <a:stretch>
                      <a:fillRect/>
                    </a:stretch>
                  </pic:blipFill>
                  <pic:spPr>
                    <a:xfrm>
                      <a:off x="0" y="0"/>
                      <a:ext cx="3552762" cy="1898982"/>
                    </a:xfrm>
                    <a:prstGeom prst="rect">
                      <a:avLst/>
                    </a:prstGeom>
                  </pic:spPr>
                </pic:pic>
              </a:graphicData>
            </a:graphic>
          </wp:inline>
        </w:drawing>
      </w:r>
    </w:p>
    <w:p w14:paraId="174C9749"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2. Architecture comparison on the mixture of Gaussians.</w:t>
      </w:r>
    </w:p>
    <w:p w14:paraId="70548BCE"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2 captures both tasks at once. The baseline (left) reaches all eight modes, so there is no hard mode collapse, but the red cloud is loose and fills the gaps between blobs rather than sitting on the centres, the classic 'covers the modes but not sharply' behaviour of a small vanilla GAN. The enhanced network (right) tightens the samples onto the mode centres and traces a clean ring; losses stay stable (enhanced ends at D=1.4444, G=0.8657), so the extra depth, width and smoother activation buy sample sharpness, not a fix for a collapse that never occurred.</w:t>
      </w:r>
    </w:p>
    <w:p w14:paraId="76845831"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lastRenderedPageBreak/>
        <w:t>4. Medical imaging: OCTMNIST retinal scans</w:t>
      </w:r>
    </w:p>
    <w:p w14:paraId="4E384177"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OCTMNIST is a MedMNIST subset of 28x28 greyscale retinal OCT scans in four diagnostic classes (Yang et al., 2023). A DCGAN suits images because it replaces dense layers with strided and transposed convolutions, adds batch normalisation and LeakyReLU/ReLU activations, and uses a weight-init recipe shown to stabilise image GANs (Radford, Metz and Chintala, 2015). Images are worked at 32x32 (a clean power of two for the four conv stages) and scaled to [-1, 1] to match the generator's Tanh.</w:t>
      </w:r>
    </w:p>
    <w:p w14:paraId="5F346133" w14:textId="4B6B4652"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6D7592E6" wp14:editId="6114349C">
            <wp:extent cx="2866145" cy="1624761"/>
            <wp:effectExtent l="0" t="0" r="0" b="0"/>
            <wp:docPr id="5011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38449" name=""/>
                    <pic:cNvPicPr/>
                  </pic:nvPicPr>
                  <pic:blipFill>
                    <a:blip r:embed="rId6"/>
                    <a:stretch>
                      <a:fillRect/>
                    </a:stretch>
                  </pic:blipFill>
                  <pic:spPr>
                    <a:xfrm>
                      <a:off x="0" y="0"/>
                      <a:ext cx="2882957" cy="1634292"/>
                    </a:xfrm>
                    <a:prstGeom prst="rect">
                      <a:avLst/>
                    </a:prstGeom>
                  </pic:spPr>
                </pic:pic>
              </a:graphicData>
            </a:graphic>
          </wp:inline>
        </w:drawing>
      </w:r>
    </w:p>
    <w:p w14:paraId="7781BBBD"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3. Class distribution of the OCTMNIST training split.</w:t>
      </w:r>
    </w:p>
    <w:p w14:paraId="470C362C"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The data have four classes (choroidal neovascularisation, diabetic macular oedema, drusen, normal) and a training split of shape (97477, 28, 28). Figure 3 shows a marked imbalance of roughly 6:1, which matters for the conditional extension, because without correction the minority classes barely train. The unconditional DCGAN uses a random 40,000-image subset.</w:t>
      </w:r>
    </w:p>
    <w:p w14:paraId="3A872135" w14:textId="1235F0AB"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3A5E79DB" wp14:editId="3C0DFF73">
            <wp:extent cx="2681728" cy="1546578"/>
            <wp:effectExtent l="0" t="0" r="4445" b="0"/>
            <wp:docPr id="117742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29465" name=""/>
                    <pic:cNvPicPr/>
                  </pic:nvPicPr>
                  <pic:blipFill>
                    <a:blip r:embed="rId7"/>
                    <a:stretch>
                      <a:fillRect/>
                    </a:stretch>
                  </pic:blipFill>
                  <pic:spPr>
                    <a:xfrm>
                      <a:off x="0" y="0"/>
                      <a:ext cx="2705151" cy="1560086"/>
                    </a:xfrm>
                    <a:prstGeom prst="rect">
                      <a:avLst/>
                    </a:prstGeom>
                  </pic:spPr>
                </pic:pic>
              </a:graphicData>
            </a:graphic>
          </wp:inline>
        </w:drawing>
      </w:r>
    </w:p>
    <w:p w14:paraId="6D11C551"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4. Generator/discriminator losses during OCTMNIST DCGAN training.</w:t>
      </w:r>
    </w:p>
    <w:p w14:paraId="5DCBB72D"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4 tracks 40 epochs. Training starts unbalanced (D=0.39, G=5.35 at epoch 1), with the discriminator dominating, then moves into a closer back-and-forth (D about 0.9 to 1.1, G about 1.3 to 2.6), the healthy shape of a DCGAN that is learning steadily and not collapsing. The occasional spike, for example epoch 19 at D=3.16, is normal adversarial oscillation and not divergence.</w:t>
      </w:r>
    </w:p>
    <w:p w14:paraId="6B3F11D6" w14:textId="7CDBE9FF"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1BACE3A2" wp14:editId="51481455">
            <wp:extent cx="4541264" cy="1230358"/>
            <wp:effectExtent l="0" t="0" r="0" b="8255"/>
            <wp:docPr id="100480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07519" name=""/>
                    <pic:cNvPicPr/>
                  </pic:nvPicPr>
                  <pic:blipFill rotWithShape="1">
                    <a:blip r:embed="rId8"/>
                    <a:srcRect t="38285"/>
                    <a:stretch>
                      <a:fillRect/>
                    </a:stretch>
                  </pic:blipFill>
                  <pic:spPr bwMode="auto">
                    <a:xfrm>
                      <a:off x="0" y="0"/>
                      <a:ext cx="4560984" cy="1235701"/>
                    </a:xfrm>
                    <a:prstGeom prst="rect">
                      <a:avLst/>
                    </a:prstGeom>
                    <a:ln>
                      <a:noFill/>
                    </a:ln>
                    <a:extLst>
                      <a:ext uri="{53640926-AAD7-44D8-BBD7-CCE9431645EC}">
                        <a14:shadowObscured xmlns:a14="http://schemas.microsoft.com/office/drawing/2010/main"/>
                      </a:ext>
                    </a:extLst>
                  </pic:spPr>
                </pic:pic>
              </a:graphicData>
            </a:graphic>
          </wp:inline>
        </w:drawing>
      </w:r>
    </w:p>
    <w:p w14:paraId="6D9C2C6F"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 xml:space="preserve">Figure 5. Real </w:t>
      </w:r>
      <w:r w:rsidR="00CB69DF" w:rsidRPr="00213087">
        <w:rPr>
          <w:rFonts w:ascii="Times New Roman" w:hAnsi="Times New Roman" w:cs="Times New Roman"/>
          <w:b/>
          <w:i/>
          <w:iCs/>
          <w:sz w:val="18"/>
          <w:szCs w:val="18"/>
        </w:rPr>
        <w:t>vs</w:t>
      </w:r>
      <w:r w:rsidRPr="00213087">
        <w:rPr>
          <w:rFonts w:ascii="Times New Roman" w:hAnsi="Times New Roman" w:cs="Times New Roman"/>
          <w:b/>
          <w:i/>
          <w:iCs/>
          <w:sz w:val="18"/>
          <w:szCs w:val="18"/>
        </w:rPr>
        <w:t xml:space="preserve"> generated OCT scans, FID = 43.70.</w:t>
      </w:r>
    </w:p>
    <w:p w14:paraId="1B619B88"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lastRenderedPageBreak/>
        <w:t>Figure 5 applies the first evaluation tool. The generator scores FID = 43.70; visually the fakes capture the bright curved retinal band over a darker background and are varied and not collapsed, though they are softer with occasionally smeared sub-layers, consistent with a mid-40s FID at 32x32 after 40 epochs. Following the reasoning of the evaluation strategy, the score is read as directional, since Inception was trained on natural RGB photos rather than greyscale scans. For the extension, to generate a chosen class on demand I built a conditional DCGAN (Mirza and Osindero, 2014), embedding the label and concatenating it with the latent vector for the generator while adding it as a discriminator input channel.</w:t>
      </w:r>
    </w:p>
    <w:p w14:paraId="0A9877F7" w14:textId="1BB6A355"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48A4B00C" wp14:editId="716A917E">
            <wp:extent cx="2643308" cy="1453819"/>
            <wp:effectExtent l="0" t="0" r="5080" b="0"/>
            <wp:docPr id="93997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77184" name=""/>
                    <pic:cNvPicPr/>
                  </pic:nvPicPr>
                  <pic:blipFill>
                    <a:blip r:embed="rId9"/>
                    <a:stretch>
                      <a:fillRect/>
                    </a:stretch>
                  </pic:blipFill>
                  <pic:spPr>
                    <a:xfrm>
                      <a:off x="0" y="0"/>
                      <a:ext cx="2660966" cy="1463531"/>
                    </a:xfrm>
                    <a:prstGeom prst="rect">
                      <a:avLst/>
                    </a:prstGeom>
                  </pic:spPr>
                </pic:pic>
              </a:graphicData>
            </a:graphic>
          </wp:inline>
        </w:drawing>
      </w:r>
    </w:p>
    <w:p w14:paraId="163F041E"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6. Class-conditional samples from the cGAN extension.</w:t>
      </w:r>
    </w:p>
    <w:p w14:paraId="0A8DAE05" w14:textId="77777777" w:rsidR="00005985"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A naive version collapsed (discriminator loss to zero, generator loss diverging, noise output). Three fixes stabilised it: one-sided label smoothing to curb discriminator over-confidence, a two time-scale update rule with a slower discriminator (Heusel et al., 2017), and class-balanced sampling for the 6:1 imbalance. Figure 6 shows samples generated per class on request, with losses recovering from D=0.66, G=3.03 at epoch 1 into a stable range; the between-class differences stay subtle, reflecting how similar these scans look even in the real data. The 'ducks' prompt applies directly: the DCGAN has no idea it is looking at eyes, only at the statistics of 32x32 arrays, so it can render convincing structure with no anatomical basis. Synthetic scans are fine for augmentation or teaching but should not feed a diagnostic pipeline without expert review.</w:t>
      </w:r>
    </w:p>
    <w:p w14:paraId="7859B55A"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t>5. Cybersecurity: synthetic CICIDS 2017 traffic</w:t>
      </w:r>
    </w:p>
    <w:p w14:paraId="248F3F19"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CICIDS 2017 stores each flow as a vector of roughly 78 numeric features instead of an image (Sharafaldin, Lashkari and Ghorbani, 2018). Because the data are tabular with no spatial locality, a convolutional DCGAN is inappropriate, so I use a fully-connected GAN that keeps the DCGAN recipe (adversarial loss, generator batch normalisation, a LeakyReLU discriminator with dropout, Adam, label smoothing) but uses dense layers and a linear output, since the standardised features are unbounded. Following the brief, I combine all per-day CSVs, then train on Wednesday.</w:t>
      </w:r>
    </w:p>
    <w:p w14:paraId="2674703C" w14:textId="16BE2DAA" w:rsidR="004772C6" w:rsidRPr="00213087" w:rsidRDefault="00C03156" w:rsidP="00213087">
      <w:pPr>
        <w:spacing w:before="120" w:after="120"/>
        <w:jc w:val="center"/>
        <w:rPr>
          <w:rFonts w:ascii="Times New Roman" w:hAnsi="Times New Roman" w:cs="Times New Roman"/>
          <w:sz w:val="20"/>
          <w:szCs w:val="20"/>
        </w:rPr>
      </w:pPr>
      <w:r w:rsidRPr="00C03156">
        <w:rPr>
          <w:rFonts w:ascii="Times New Roman" w:hAnsi="Times New Roman" w:cs="Times New Roman"/>
          <w:noProof/>
          <w:sz w:val="20"/>
          <w:szCs w:val="20"/>
        </w:rPr>
        <w:drawing>
          <wp:inline distT="0" distB="0" distL="0" distR="0" wp14:anchorId="1E7B83DF" wp14:editId="5BBC3DD1">
            <wp:extent cx="4740965" cy="1241971"/>
            <wp:effectExtent l="0" t="0" r="2540" b="0"/>
            <wp:docPr id="74768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82246" name=""/>
                    <pic:cNvPicPr/>
                  </pic:nvPicPr>
                  <pic:blipFill>
                    <a:blip r:embed="rId10"/>
                    <a:stretch>
                      <a:fillRect/>
                    </a:stretch>
                  </pic:blipFill>
                  <pic:spPr>
                    <a:xfrm>
                      <a:off x="0" y="0"/>
                      <a:ext cx="4824757" cy="1263922"/>
                    </a:xfrm>
                    <a:prstGeom prst="rect">
                      <a:avLst/>
                    </a:prstGeom>
                  </pic:spPr>
                </pic:pic>
              </a:graphicData>
            </a:graphic>
          </wp:inline>
        </w:drawing>
      </w:r>
    </w:p>
    <w:p w14:paraId="5C027294"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7. Combined CICIDS 2017 class balance and per-day volumes.</w:t>
      </w:r>
    </w:p>
    <w:p w14:paraId="64F28E3A"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Merging the eight files gives 2,830,743 flows across 80 columns with 78 numeric features, needing 4,376 infinite and 1,358 missing values cleaned. Figure 7 shows BENIGN dominating so heavily that a log scale is needed to see the attacks. A label note: the brief says 'DDoS', but Wednesday contains single-source DoS attacks (Hulk, GoldenEye, slowloris, Slowhttptest), so I treat it as BENIGN vs DoS and flag the mismatch deliberately. Wednesday's largest </w:t>
      </w:r>
      <w:r w:rsidRPr="00213087">
        <w:rPr>
          <w:rFonts w:ascii="Times New Roman" w:hAnsi="Times New Roman" w:cs="Times New Roman"/>
          <w:sz w:val="20"/>
          <w:szCs w:val="20"/>
        </w:rPr>
        <w:lastRenderedPageBreak/>
        <w:t>labels are BENIGN = 440,031 and DoS Hulk = 231,073. Features are standardised and clipped to plus or minus 5 sigma so outliers cannot destabilise training, and the GAN trains on a 20,000-row sample for 60 epochs (ending D=1.0189, G=1.4104).</w:t>
      </w:r>
    </w:p>
    <w:p w14:paraId="48472794" w14:textId="7EB28AF5"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2289D769" wp14:editId="558379FA">
            <wp:extent cx="2584174" cy="2267914"/>
            <wp:effectExtent l="0" t="0" r="6985" b="0"/>
            <wp:docPr id="8045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7044" name=""/>
                    <pic:cNvPicPr/>
                  </pic:nvPicPr>
                  <pic:blipFill>
                    <a:blip r:embed="rId11"/>
                    <a:stretch>
                      <a:fillRect/>
                    </a:stretch>
                  </pic:blipFill>
                  <pic:spPr>
                    <a:xfrm>
                      <a:off x="0" y="0"/>
                      <a:ext cx="2608309" cy="2289095"/>
                    </a:xfrm>
                    <a:prstGeom prst="rect">
                      <a:avLst/>
                    </a:prstGeom>
                  </pic:spPr>
                </pic:pic>
              </a:graphicData>
            </a:graphic>
          </wp:inline>
        </w:drawing>
      </w:r>
    </w:p>
    <w:p w14:paraId="6CC630CE"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8. t-SNE of real versus synthetic Wednesday traffic.</w:t>
      </w:r>
    </w:p>
    <w:p w14:paraId="0A4B3916"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Now the second and third evaluation tools apply. Since a feature vector cannot be eyeballed, alignment is judged via PCA (linear) and t-SNE (nonlinear). Figure 8 shows the synthetic cloud sitting on the dense BENIGN region and pushing partway into the DoS clusters without reproducing their separate structure. Quantitatively, the average absolute per-feature gap (standardised) is 0.1387 on the means and 0.2480 on the standard deviations, so the generator matches where most traffic lives and the typical feature values, but is smoother than the real data and misses the DoS tails, the usual result for a plain unconditional GAN on heavy-tailed, partly-binary features.</w:t>
      </w:r>
    </w:p>
    <w:p w14:paraId="02D9CA5A" w14:textId="37BCE5C7"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64C7E466" wp14:editId="245C15DE">
            <wp:extent cx="2723322" cy="2126287"/>
            <wp:effectExtent l="0" t="0" r="1270" b="7620"/>
            <wp:docPr id="209349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6390" name=""/>
                    <pic:cNvPicPr/>
                  </pic:nvPicPr>
                  <pic:blipFill>
                    <a:blip r:embed="rId12"/>
                    <a:stretch>
                      <a:fillRect/>
                    </a:stretch>
                  </pic:blipFill>
                  <pic:spPr>
                    <a:xfrm>
                      <a:off x="0" y="0"/>
                      <a:ext cx="2739478" cy="2138901"/>
                    </a:xfrm>
                    <a:prstGeom prst="rect">
                      <a:avLst/>
                    </a:prstGeom>
                  </pic:spPr>
                </pic:pic>
              </a:graphicData>
            </a:graphic>
          </wp:inline>
        </w:drawing>
      </w:r>
    </w:p>
    <w:p w14:paraId="78348B80"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9. All-days PCA, real points coloured by attack family.</w:t>
      </w:r>
    </w:p>
    <w:p w14:paraId="12D89F2C"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For the extension across all days, retraining on the full dataset (2,827,876 rows, 30,000 sampled) tests coverage across attack families. Figure 9 colours real points by family; the synthetic cloud leans to BENIGN and the large attack blobs while barely touching the rare families, since the comparison sample holds only 2 Bot, 11 Brute Force and 2 Web Attack real points. Adding data slightly improves the mean-gap (0.1009 vs 0.1387) but worsens the std-gap (0.3004 vs 0.2480): more data sharpens the averages yet cannot cover the extra variance, so a single unconditional GAN does not generalise across families, and a conditional GAN or per-family models would follow. The 'duck' point bites harder here, since a synthetic flow can be statistically plausible yet physically impossible, which is why the overlap and per-feature-gap checks matter more than any visual inspection.</w:t>
      </w:r>
    </w:p>
    <w:p w14:paraId="1B5F1428"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lastRenderedPageBreak/>
        <w:t>6. Creative sketching: QuickDraw birthday cakes</w:t>
      </w:r>
    </w:p>
    <w:p w14:paraId="29950CB6"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The final task trains a DCGAN on the QuickDraw 'birthday cake' set of 28x28 greyscale sketch bitmaps (Ha and Eck, 2018). I implement it in TensorFlow/Keras in the model.fit style: a functional-API generator and discriminator wrapped in a keras.Model subclass whose train_step performs the adversarial update, deliberately showing a different framework and style from earlier parts. The config is a 100-d latent vector, 48 base feature maps, Adam at lr = 0.00015 (beta1 = 0.5) and 35 epochs at batch 256; the generator has 677,952 parameters. Of 144,982 available sketches I train on a random 30,000.</w:t>
      </w:r>
    </w:p>
    <w:p w14:paraId="56157536" w14:textId="1B87138C"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drawing>
          <wp:inline distT="0" distB="0" distL="0" distR="0" wp14:anchorId="28059EA1" wp14:editId="2063653A">
            <wp:extent cx="4729655" cy="2603331"/>
            <wp:effectExtent l="0" t="0" r="0" b="6985"/>
            <wp:docPr id="10740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07327" name=""/>
                    <pic:cNvPicPr/>
                  </pic:nvPicPr>
                  <pic:blipFill>
                    <a:blip r:embed="rId13"/>
                    <a:stretch>
                      <a:fillRect/>
                    </a:stretch>
                  </pic:blipFill>
                  <pic:spPr>
                    <a:xfrm>
                      <a:off x="0" y="0"/>
                      <a:ext cx="4734556" cy="2606028"/>
                    </a:xfrm>
                    <a:prstGeom prst="rect">
                      <a:avLst/>
                    </a:prstGeom>
                  </pic:spPr>
                </pic:pic>
              </a:graphicData>
            </a:graphic>
          </wp:inline>
        </w:drawing>
      </w:r>
    </w:p>
    <w:p w14:paraId="103E8351"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10. Real versus generated birthday-cake sketches, FID = 42.13.</w:t>
      </w:r>
    </w:p>
    <w:p w14:paraId="49408714"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10 applies the FID tool again; the model scores FID = 42.13 using the same InceptionV3 approach as the medical section. The cakes are clearly recognisable, showing a rounded or rectangular body, candles and often a plate, with line-art faults such as broken strokes and speckle visible up close but not hiding the subject. Losses stay in a healthy back-and-forth (from d_loss=0.55, g_loss=2.84 at epoch 1), with only occasional spikes.</w:t>
      </w:r>
    </w:p>
    <w:p w14:paraId="4B8ADD23" w14:textId="64AD89C4" w:rsidR="004772C6" w:rsidRPr="00213087" w:rsidRDefault="00C03156" w:rsidP="00213087">
      <w:pPr>
        <w:spacing w:before="120" w:after="120"/>
        <w:jc w:val="center"/>
        <w:rPr>
          <w:rFonts w:ascii="Times New Roman" w:hAnsi="Times New Roman" w:cs="Times New Roman"/>
          <w:sz w:val="20"/>
          <w:szCs w:val="20"/>
        </w:rPr>
      </w:pPr>
      <w:r w:rsidRPr="00C03156">
        <w:rPr>
          <w:rFonts w:ascii="Times New Roman" w:hAnsi="Times New Roman" w:cs="Times New Roman"/>
          <w:noProof/>
          <w:sz w:val="20"/>
          <w:szCs w:val="20"/>
        </w:rPr>
        <w:drawing>
          <wp:inline distT="0" distB="0" distL="0" distR="0" wp14:anchorId="68E8BFB5" wp14:editId="384C5D8C">
            <wp:extent cx="5943600" cy="1383030"/>
            <wp:effectExtent l="0" t="0" r="0" b="7620"/>
            <wp:docPr id="71172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25002" name=""/>
                    <pic:cNvPicPr/>
                  </pic:nvPicPr>
                  <pic:blipFill>
                    <a:blip r:embed="rId14"/>
                    <a:stretch>
                      <a:fillRect/>
                    </a:stretch>
                  </pic:blipFill>
                  <pic:spPr>
                    <a:xfrm>
                      <a:off x="0" y="0"/>
                      <a:ext cx="5943600" cy="1383030"/>
                    </a:xfrm>
                    <a:prstGeom prst="rect">
                      <a:avLst/>
                    </a:prstGeom>
                  </pic:spPr>
                </pic:pic>
              </a:graphicData>
            </a:graphic>
          </wp:inline>
        </w:drawing>
      </w:r>
    </w:p>
    <w:p w14:paraId="29525D82"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11. Sample progression across training epochs.</w:t>
      </w:r>
    </w:p>
    <w:p w14:paraId="57DA1D3E"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11 shows fixed-noise samples at five epochs. Early snapshots are blurry blobs; later ones sharpen into cake outlines with candles, the qualitative counterpart to the losses stabilising. Tracking the same noise over time separates genuine learning from mode-hopping, since the samples evolve smoothly towards structure instead of jumping between shapes.</w:t>
      </w:r>
    </w:p>
    <w:p w14:paraId="65A0A545" w14:textId="3B590D38" w:rsidR="004772C6" w:rsidRPr="00213087" w:rsidRDefault="00C03156" w:rsidP="00CB69DF">
      <w:pPr>
        <w:spacing w:before="120" w:after="120"/>
        <w:jc w:val="center"/>
        <w:rPr>
          <w:rFonts w:ascii="Times New Roman" w:hAnsi="Times New Roman" w:cs="Times New Roman"/>
          <w:sz w:val="20"/>
          <w:szCs w:val="20"/>
        </w:rPr>
      </w:pPr>
      <w:r w:rsidRPr="00C03156">
        <w:rPr>
          <w:rFonts w:ascii="Times New Roman" w:hAnsi="Times New Roman" w:cs="Times New Roman"/>
          <w:sz w:val="20"/>
          <w:szCs w:val="20"/>
        </w:rPr>
        <w:lastRenderedPageBreak/>
        <w:drawing>
          <wp:inline distT="0" distB="0" distL="0" distR="0" wp14:anchorId="625CE965" wp14:editId="116D2BB1">
            <wp:extent cx="4056993" cy="1756297"/>
            <wp:effectExtent l="0" t="0" r="1270" b="0"/>
            <wp:docPr id="206227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77258" name=""/>
                    <pic:cNvPicPr/>
                  </pic:nvPicPr>
                  <pic:blipFill>
                    <a:blip r:embed="rId15"/>
                    <a:stretch>
                      <a:fillRect/>
                    </a:stretch>
                  </pic:blipFill>
                  <pic:spPr>
                    <a:xfrm>
                      <a:off x="0" y="0"/>
                      <a:ext cx="4079323" cy="1765964"/>
                    </a:xfrm>
                    <a:prstGeom prst="rect">
                      <a:avLst/>
                    </a:prstGeom>
                  </pic:spPr>
                </pic:pic>
              </a:graphicData>
            </a:graphic>
          </wp:inline>
        </w:drawing>
      </w:r>
    </w:p>
    <w:p w14:paraId="5EF1286C" w14:textId="77777777" w:rsidR="004772C6" w:rsidRPr="00213087" w:rsidRDefault="00000000" w:rsidP="00CB69DF">
      <w:pPr>
        <w:spacing w:before="40" w:after="200"/>
        <w:jc w:val="center"/>
        <w:rPr>
          <w:rFonts w:ascii="Times New Roman" w:hAnsi="Times New Roman" w:cs="Times New Roman"/>
          <w:b/>
          <w:i/>
          <w:iCs/>
          <w:sz w:val="18"/>
          <w:szCs w:val="18"/>
        </w:rPr>
      </w:pPr>
      <w:r w:rsidRPr="00213087">
        <w:rPr>
          <w:rFonts w:ascii="Times New Roman" w:hAnsi="Times New Roman" w:cs="Times New Roman"/>
          <w:b/>
          <w:i/>
          <w:iCs/>
          <w:sz w:val="18"/>
          <w:szCs w:val="18"/>
        </w:rPr>
        <w:t>Figure 12. Cross-category FID versus ink-fraction complexity proxy.</w:t>
      </w:r>
    </w:p>
    <w:p w14:paraId="64A8A7B3"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Figure 12 reports house = 35.22, cat = 39.53, cake = 42.13, while the ink-fractions are nearly flat (0.2368, 0.2655, 0.2708). Since ink density barely varies, it cannot explain the FID differences. House is the easiest, which fits intuition, because houses are structurally rigid whereas cats and cakes vary more in pose, tiers and candle count. Shape variety, not ink coverage, drives the difficulty, and the ordering of house then cat then cake follows increasing structural variety.</w:t>
      </w:r>
    </w:p>
    <w:p w14:paraId="35367085"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t>7. Discussion and future work</w:t>
      </w:r>
    </w:p>
    <w:p w14:paraId="048766C7"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Read through the evaluation lens, a consistent story emerges. On the 2D data the visual check is enough: the MLP learned the sine wave almost perfectly and reached every mode of the Gaussian ring, and depth, width and SELU sharpened the samples without altering coverage. Where a visual check is unreliable, the metrics carry the weight: FID placed the OCT scans in the mid-40s (43.70) and the cake sketches close behind (42.13), directional scores consistent with the visible softness, while the CICIDS moment gaps (0.1387 / 0.2480 on Wednesday) exposed a generator that matches the bulk of traffic but understates its spread. Each tool caught what the others could not, which is the argument for using all three.</w:t>
      </w:r>
    </w:p>
    <w:p w14:paraId="597E8635" w14:textId="77777777" w:rsidR="00005985" w:rsidRPr="00213087" w:rsidRDefault="00000000">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Three directions follow. First, coverage of rare classes: both the OCT imbalance and the CICIDS rare-attack failure point to conditional generation, per-class models or minority-aware sampling. Second, better-matched evaluation: ImageNet-based FID is only directional for greyscale scans and line-art, so a domain-specific extractor or a 'train-on-synthetic, test-on-real' classifier would give a more trustworthy signal. Third, stronger objectives: a Wasserstein loss with gradient penalty (Gulrajani et al., 2017) would likely tighten the loose Gaussian-mixture and smoothed CICIDS distributions. The recurring lesson, framed by the 'duck' question, is that a GAN learns statistical resemblance, never semantic correctness, so synthetic medical or security data must be validated before it is trusted downstream.</w:t>
      </w:r>
    </w:p>
    <w:p w14:paraId="65EF75A5" w14:textId="77777777" w:rsidR="00005985" w:rsidRPr="00213087" w:rsidRDefault="00000000">
      <w:pPr>
        <w:spacing w:before="240" w:after="100"/>
        <w:jc w:val="both"/>
        <w:rPr>
          <w:rFonts w:ascii="Times New Roman" w:hAnsi="Times New Roman" w:cs="Times New Roman"/>
        </w:rPr>
      </w:pPr>
      <w:r w:rsidRPr="00213087">
        <w:rPr>
          <w:rFonts w:ascii="Times New Roman" w:hAnsi="Times New Roman" w:cs="Times New Roman"/>
          <w:b/>
        </w:rPr>
        <w:t>References</w:t>
      </w:r>
    </w:p>
    <w:p w14:paraId="2E812557"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Goodfellow, I. et al. (2014) 'Generative adversarial nets', in </w:t>
      </w:r>
      <w:r w:rsidRPr="00213087">
        <w:rPr>
          <w:rFonts w:ascii="Times New Roman" w:hAnsi="Times New Roman" w:cs="Times New Roman"/>
          <w:i/>
          <w:sz w:val="20"/>
          <w:szCs w:val="20"/>
        </w:rPr>
        <w:t>Advances in Neural Information Processing Systems (NeurIPS) 27</w:t>
      </w:r>
      <w:r w:rsidRPr="00213087">
        <w:rPr>
          <w:rFonts w:ascii="Times New Roman" w:hAnsi="Times New Roman" w:cs="Times New Roman"/>
          <w:sz w:val="20"/>
          <w:szCs w:val="20"/>
        </w:rPr>
        <w:t>. Montreal, pp. 2672-2680.</w:t>
      </w:r>
    </w:p>
    <w:p w14:paraId="2B8251C0"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Gulrajani, I. et al. (2017) 'Improved training of Wasserstein GANs', in </w:t>
      </w:r>
      <w:r w:rsidRPr="00213087">
        <w:rPr>
          <w:rFonts w:ascii="Times New Roman" w:hAnsi="Times New Roman" w:cs="Times New Roman"/>
          <w:i/>
          <w:sz w:val="20"/>
          <w:szCs w:val="20"/>
        </w:rPr>
        <w:t>Advances in Neural Information Processing Systems (NeurIPS) 30</w:t>
      </w:r>
      <w:r w:rsidRPr="00213087">
        <w:rPr>
          <w:rFonts w:ascii="Times New Roman" w:hAnsi="Times New Roman" w:cs="Times New Roman"/>
          <w:sz w:val="20"/>
          <w:szCs w:val="20"/>
        </w:rPr>
        <w:t>. Long Beach, CA, pp. 5767-5777.</w:t>
      </w:r>
    </w:p>
    <w:p w14:paraId="4186EFBE"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Ha, D. and Eck, D. (2018) 'A neural representation of sketch drawings', in </w:t>
      </w:r>
      <w:r w:rsidRPr="00213087">
        <w:rPr>
          <w:rFonts w:ascii="Times New Roman" w:hAnsi="Times New Roman" w:cs="Times New Roman"/>
          <w:i/>
          <w:sz w:val="20"/>
          <w:szCs w:val="20"/>
        </w:rPr>
        <w:t>International Conference on Learning Representations (ICLR)</w:t>
      </w:r>
      <w:r w:rsidRPr="00213087">
        <w:rPr>
          <w:rFonts w:ascii="Times New Roman" w:hAnsi="Times New Roman" w:cs="Times New Roman"/>
          <w:sz w:val="20"/>
          <w:szCs w:val="20"/>
        </w:rPr>
        <w:t>. Vancouver.</w:t>
      </w:r>
    </w:p>
    <w:p w14:paraId="70A82051"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Heusel, M. et al. (2017) 'GANs trained by a two time-scale update rule converge to a local Nash equilibrium', in </w:t>
      </w:r>
      <w:r w:rsidRPr="00213087">
        <w:rPr>
          <w:rFonts w:ascii="Times New Roman" w:hAnsi="Times New Roman" w:cs="Times New Roman"/>
          <w:i/>
          <w:sz w:val="20"/>
          <w:szCs w:val="20"/>
        </w:rPr>
        <w:t>Advances in Neural Information Processing Systems (NeurIPS) 30</w:t>
      </w:r>
      <w:r w:rsidRPr="00213087">
        <w:rPr>
          <w:rFonts w:ascii="Times New Roman" w:hAnsi="Times New Roman" w:cs="Times New Roman"/>
          <w:sz w:val="20"/>
          <w:szCs w:val="20"/>
        </w:rPr>
        <w:t>. Long Beach, CA, pp. 6626-6637.</w:t>
      </w:r>
    </w:p>
    <w:p w14:paraId="7CECAA86"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lastRenderedPageBreak/>
        <w:t xml:space="preserve">Klambauer, G. et al. (2017) 'Self-normalizing neural networks', in </w:t>
      </w:r>
      <w:r w:rsidRPr="00213087">
        <w:rPr>
          <w:rFonts w:ascii="Times New Roman" w:hAnsi="Times New Roman" w:cs="Times New Roman"/>
          <w:i/>
          <w:sz w:val="20"/>
          <w:szCs w:val="20"/>
        </w:rPr>
        <w:t>Advances in Neural Information Processing Systems (NeurIPS) 30</w:t>
      </w:r>
      <w:r w:rsidRPr="00213087">
        <w:rPr>
          <w:rFonts w:ascii="Times New Roman" w:hAnsi="Times New Roman" w:cs="Times New Roman"/>
          <w:sz w:val="20"/>
          <w:szCs w:val="20"/>
        </w:rPr>
        <w:t>. Long Beach, CA, pp. 971-980.</w:t>
      </w:r>
    </w:p>
    <w:p w14:paraId="1E56D47D"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Mirza, M. and Osindero, S. (2014) 'Conditional generative adversarial nets', </w:t>
      </w:r>
      <w:r w:rsidRPr="00213087">
        <w:rPr>
          <w:rFonts w:ascii="Times New Roman" w:hAnsi="Times New Roman" w:cs="Times New Roman"/>
          <w:i/>
          <w:sz w:val="20"/>
          <w:szCs w:val="20"/>
        </w:rPr>
        <w:t>arXiv preprint</w:t>
      </w:r>
      <w:r w:rsidRPr="00213087">
        <w:rPr>
          <w:rFonts w:ascii="Times New Roman" w:hAnsi="Times New Roman" w:cs="Times New Roman"/>
          <w:sz w:val="20"/>
          <w:szCs w:val="20"/>
        </w:rPr>
        <w:t xml:space="preserve"> arXiv:1411.1784.</w:t>
      </w:r>
    </w:p>
    <w:p w14:paraId="042271FE"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Radford, A., Metz, L. and Chintala, S. (2015) 'Unsupervised representation learning with deep convolutional generative adversarial networks', </w:t>
      </w:r>
      <w:r w:rsidRPr="00213087">
        <w:rPr>
          <w:rFonts w:ascii="Times New Roman" w:hAnsi="Times New Roman" w:cs="Times New Roman"/>
          <w:i/>
          <w:sz w:val="20"/>
          <w:szCs w:val="20"/>
        </w:rPr>
        <w:t>arXiv preprint</w:t>
      </w:r>
      <w:r w:rsidRPr="00213087">
        <w:rPr>
          <w:rFonts w:ascii="Times New Roman" w:hAnsi="Times New Roman" w:cs="Times New Roman"/>
          <w:sz w:val="20"/>
          <w:szCs w:val="20"/>
        </w:rPr>
        <w:t xml:space="preserve"> arXiv:1511.06434.</w:t>
      </w:r>
    </w:p>
    <w:p w14:paraId="387BC1B0"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Sharafaldin, I., Lashkari, A.H. and Ghorbani, A.A. (2018) 'Toward generating a new intrusion detection dataset and intrusion traffic characterization', in </w:t>
      </w:r>
      <w:r w:rsidRPr="00213087">
        <w:rPr>
          <w:rFonts w:ascii="Times New Roman" w:hAnsi="Times New Roman" w:cs="Times New Roman"/>
          <w:i/>
          <w:sz w:val="20"/>
          <w:szCs w:val="20"/>
        </w:rPr>
        <w:t>Proceedings of the 4th International Conference on Information Systems Security and Privacy (ICISSP)</w:t>
      </w:r>
      <w:r w:rsidRPr="00213087">
        <w:rPr>
          <w:rFonts w:ascii="Times New Roman" w:hAnsi="Times New Roman" w:cs="Times New Roman"/>
          <w:sz w:val="20"/>
          <w:szCs w:val="20"/>
        </w:rPr>
        <w:t>. Funchal, pp. 108-116.</w:t>
      </w:r>
    </w:p>
    <w:p w14:paraId="7EC2616A"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van der Maaten, L. and Hinton, G. (2008) 'Visualizing data using t-SNE', </w:t>
      </w:r>
      <w:r w:rsidRPr="00213087">
        <w:rPr>
          <w:rFonts w:ascii="Times New Roman" w:hAnsi="Times New Roman" w:cs="Times New Roman"/>
          <w:i/>
          <w:sz w:val="20"/>
          <w:szCs w:val="20"/>
        </w:rPr>
        <w:t>Journal of Machine Learning Research</w:t>
      </w:r>
      <w:r w:rsidRPr="00213087">
        <w:rPr>
          <w:rFonts w:ascii="Times New Roman" w:hAnsi="Times New Roman" w:cs="Times New Roman"/>
          <w:sz w:val="20"/>
          <w:szCs w:val="20"/>
        </w:rPr>
        <w:t>, 9, pp. 2579-2605.</w:t>
      </w:r>
    </w:p>
    <w:p w14:paraId="02200F9B" w14:textId="77777777" w:rsidR="004772C6" w:rsidRPr="00213087" w:rsidRDefault="00000000" w:rsidP="00CB69DF">
      <w:pPr>
        <w:spacing w:before="120" w:after="120"/>
        <w:jc w:val="both"/>
        <w:rPr>
          <w:rFonts w:ascii="Times New Roman" w:hAnsi="Times New Roman" w:cs="Times New Roman"/>
          <w:sz w:val="20"/>
          <w:szCs w:val="20"/>
        </w:rPr>
      </w:pPr>
      <w:r w:rsidRPr="00213087">
        <w:rPr>
          <w:rFonts w:ascii="Times New Roman" w:hAnsi="Times New Roman" w:cs="Times New Roman"/>
          <w:sz w:val="20"/>
          <w:szCs w:val="20"/>
        </w:rPr>
        <w:t xml:space="preserve">Yang, J. et al. (2023) 'MedMNIST v2 - a large-scale lightweight benchmark for 2D and 3D biomedical image classification', </w:t>
      </w:r>
      <w:r w:rsidRPr="00213087">
        <w:rPr>
          <w:rFonts w:ascii="Times New Roman" w:hAnsi="Times New Roman" w:cs="Times New Roman"/>
          <w:i/>
          <w:sz w:val="20"/>
          <w:szCs w:val="20"/>
        </w:rPr>
        <w:t>Scientific Data</w:t>
      </w:r>
      <w:r w:rsidRPr="00213087">
        <w:rPr>
          <w:rFonts w:ascii="Times New Roman" w:hAnsi="Times New Roman" w:cs="Times New Roman"/>
          <w:sz w:val="20"/>
          <w:szCs w:val="20"/>
        </w:rPr>
        <w:t>, 10(1), 41.</w:t>
      </w:r>
    </w:p>
    <w:sectPr w:rsidR="004772C6" w:rsidRPr="0021308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C6"/>
    <w:rsid w:val="00005985"/>
    <w:rsid w:val="00213087"/>
    <w:rsid w:val="004772C6"/>
    <w:rsid w:val="00C03156"/>
    <w:rsid w:val="00CB69DF"/>
    <w:rsid w:val="00D169AA"/>
    <w:rsid w:val="00E071A7"/>
    <w:rsid w:val="00E36AD5"/>
    <w:rsid w:val="00FC16A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E0440"/>
  <w15:docId w15:val="{1144DAEC-4DBE-493E-A042-0362E3927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2457</Words>
  <Characters>14007</Characters>
  <Application>Microsoft Office Word</Application>
  <DocSecurity>0</DocSecurity>
  <Lines>116</Lines>
  <Paragraphs>32</Paragraphs>
  <ScaleCrop>false</ScaleCrop>
  <Company/>
  <LinksUpToDate>false</LinksUpToDate>
  <CharactersWithSpaces>16432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14</cp:revision>
  <dcterms:created xsi:type="dcterms:W3CDTF">2026-07-29T16:48:00Z</dcterms:created>
  <dcterms:modified xsi:type="dcterms:W3CDTF">2026-08-05T11:00:00Z</dcterms:modified>
</cp:coreProperties>
</file>