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7F758" w14:textId="77777777" w:rsidR="004772C6" w:rsidRPr="00CB69DF" w:rsidRDefault="00000000" w:rsidP="00CB69DF">
      <w:pPr>
        <w:spacing w:before="120" w:after="200"/>
        <w:jc w:val="center"/>
        <w:rPr>
          <w:rFonts w:ascii="Times New Roman" w:hAnsi="Times New Roman" w:cs="Times New Roman"/>
          <w:sz w:val="32"/>
          <w:szCs w:val="32"/>
        </w:rPr>
      </w:pPr>
      <w:r w:rsidRPr="00CB69DF">
        <w:rPr>
          <w:rFonts w:ascii="Times New Roman" w:hAnsi="Times New Roman" w:cs="Times New Roman"/>
          <w:b/>
          <w:sz w:val="32"/>
          <w:szCs w:val="32"/>
        </w:rPr>
        <w:t>Generative Adversarial Networks: From Synthetic 2D Data to Medical, Cybersecurity and Creative Applications</w:t>
      </w:r>
    </w:p>
    <w:p w14:paraId="4363742A" w14:textId="131D917A" w:rsidR="00CB69DF" w:rsidRDefault="00CB69DF" w:rsidP="00CB69DF">
      <w:pPr>
        <w:spacing w:before="240" w:after="100"/>
        <w:jc w:val="both"/>
        <w:rPr>
          <w:rFonts w:ascii="Times New Roman" w:hAnsi="Times New Roman" w:cs="Times New Roman"/>
          <w:b/>
        </w:rPr>
      </w:pPr>
      <w:r>
        <w:rPr>
          <w:rFonts w:ascii="Times New Roman" w:hAnsi="Times New Roman" w:cs="Times New Roman"/>
          <w:b/>
        </w:rPr>
        <w:t xml:space="preserve">Student Name: </w:t>
      </w:r>
    </w:p>
    <w:p w14:paraId="174265A2" w14:textId="38F6D73C" w:rsidR="00CB69DF" w:rsidRDefault="00CB69DF" w:rsidP="00CB69DF">
      <w:pPr>
        <w:spacing w:before="240" w:after="100"/>
        <w:jc w:val="both"/>
        <w:rPr>
          <w:rFonts w:ascii="Times New Roman" w:hAnsi="Times New Roman" w:cs="Times New Roman"/>
          <w:b/>
        </w:rPr>
      </w:pPr>
      <w:r>
        <w:rPr>
          <w:rFonts w:ascii="Times New Roman" w:hAnsi="Times New Roman" w:cs="Times New Roman"/>
          <w:b/>
        </w:rPr>
        <w:t>Student ID:</w:t>
      </w:r>
    </w:p>
    <w:p w14:paraId="11233665" w14:textId="727B2111" w:rsidR="00CB69DF" w:rsidRDefault="00CB69DF" w:rsidP="00CB69DF">
      <w:pPr>
        <w:spacing w:before="240" w:after="100"/>
        <w:jc w:val="both"/>
        <w:rPr>
          <w:rFonts w:ascii="Times New Roman" w:hAnsi="Times New Roman" w:cs="Times New Roman"/>
          <w:b/>
        </w:rPr>
      </w:pPr>
      <w:r>
        <w:rPr>
          <w:rFonts w:ascii="Times New Roman" w:hAnsi="Times New Roman" w:cs="Times New Roman"/>
          <w:b/>
        </w:rPr>
        <w:t>Github URL: https://github.com/nithinreddy2003/GAN_Assignments</w:t>
      </w:r>
    </w:p>
    <w:p w14:paraId="0B0CC047" w14:textId="77777777" w:rsidR="00CB69DF" w:rsidRDefault="00CB69DF" w:rsidP="00CB69DF">
      <w:pPr>
        <w:spacing w:before="240" w:after="100"/>
        <w:jc w:val="both"/>
        <w:rPr>
          <w:rFonts w:ascii="Times New Roman" w:hAnsi="Times New Roman" w:cs="Times New Roman"/>
          <w:b/>
        </w:rPr>
      </w:pPr>
    </w:p>
    <w:p>
      <w:pPr>
        <w:spacing w:before="240" w:after="100"/>
        <w:jc w:val="both"/>
        <w:rPr>
          <w:rFonts w:ascii="Times New Roman" w:hAnsi="Times New Roman" w:cs="Times New Roman"/>
        </w:rPr>
      </w:pPr>
      <w:r>
        <w:rPr>
          <w:rFonts w:ascii="Times New Roman" w:hAnsi="Times New Roman" w:cs="Times New Roman"/>
          <w:b/>
        </w:rPr>
        <w:t xml:space="preserve">1. Introduction</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This report studies generative adversarial networks (GANs) through the lens of how their output is evaluated. A GAN pairs a generator, which maps noise to samples, against a discriminator, which separates real data from generated data; trained together in a minimax game, the generated distribution should converge on the real one (Goodfellow et al., 2014). The harder question in practice is not whether a GAN trains, but how convincingly its samples match the target, and that question is answered differently for pictures, feature vectors and sketches. The report therefore leads with an evaluation strategy and then applies it to four datasets: synthetic 2D data, OCTMNIST retinal scans, CICIDS 2017 network flows and QuickDraw sketches. Every figure and number below comes directly from the notebook, and a fixed seed (42) is re-applied before each run for reproducibility.</w:t>
      </w:r>
    </w:p>
    <w:p>
      <w:pPr>
        <w:spacing w:before="240" w:after="100"/>
        <w:jc w:val="both"/>
        <w:rPr>
          <w:rFonts w:ascii="Times New Roman" w:hAnsi="Times New Roman" w:cs="Times New Roman"/>
        </w:rPr>
      </w:pPr>
      <w:r>
        <w:rPr>
          <w:rFonts w:ascii="Times New Roman" w:hAnsi="Times New Roman" w:cs="Times New Roman"/>
          <w:b/>
        </w:rPr>
        <w:t xml:space="preserve">2. Methods and evaluation strategy</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All models share one adversarial core. The generator and discriminator are optimised with the non-saturating objective through binary cross-entropy on logits, which avoids the early vanishing gradients of the original minimax loss (Goodfellow et al., 2014), using Adam and one-sided label smoothing (a real target of 0.9) to keep the discriminator from becoming over-confident. The network family then follows the data: multi-layer perceptrons for 2D points and tabular flows, where there is no spatial grid for a convolution to exploit, and deep convolutional GANs (DCGANs) for images, where strided and transposed convolutions with batch normalisation match local spatial structure and a weight-init recipe stabilises training (Radford, Metz and Chintala, 2015). Parts 1, 2.1 and 2.2 are written in PyTorch and Part 2.3 in TensorFlow/Keras, to show both frameworks.</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Three evaluation tools recur throughout, chosen because each interrogates a different failure mode. For images, the Frechet Inception Distance (FID) compares InceptionV3 feature statistics between real and generated sets (Heusel et al., 2017); it is read as directional rather than absolute here, because InceptionV3 was trained on natural RGB photographs and not on greyscale scans or line art. For the tabular model, where a 78-number vector cannot be eyeballed, alignment is judged two ways: PCA gives a quick linear projection and t-SNE a non-linear view of local structure (van der Maaten and Hinton, 2008), while the average absolute per-feature gap on the means and on the standard deviations puts a number on how closely the synthetic moments track the real ones. Watching for mode collapse, whether a generator covers the whole distribution or only part of it, sits behind all three.</w:t>
      </w:r>
    </w:p>
    <w:p>
      <w:pPr>
        <w:spacing w:before="240" w:after="100"/>
        <w:jc w:val="both"/>
        <w:rPr>
          <w:rFonts w:ascii="Times New Roman" w:hAnsi="Times New Roman" w:cs="Times New Roman"/>
        </w:rPr>
      </w:pPr>
      <w:r>
        <w:rPr>
          <w:rFonts w:ascii="Times New Roman" w:hAnsi="Times New Roman" w:cs="Times New Roman"/>
          <w:b/>
        </w:rPr>
        <w:t xml:space="preserve">3. Foundations on 2D data</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Part 1 builds the machinery from scratch on controllable 2D targets, where success can be judged by eye. The baseline is a 16-dimensional latent vector feeding a width-128, depth-2 ReLU network, trained for 6,000 steps against y = sin(x) on [-pi, pi], mainly as a sanity check on the shared code.</w:t>
      </w:r>
    </w:p>
    <w:p w14:paraId="50055A38" w14:textId="77777777" w:rsidR="004772C6" w:rsidRPr="00CB69DF" w:rsidRDefault="00000000" w:rsidP="00CB69DF">
      <w:pPr>
        <w:spacing w:before="120" w:after="120"/>
        <w:jc w:val="center"/>
        <w:rPr>
          <w:rFonts w:ascii="Times New Roman" w:hAnsi="Times New Roman" w:cs="Times New Roman"/>
        </w:rPr>
      </w:pPr>
      <w:r w:rsidRPr="00CB69DF">
        <w:rPr>
          <w:rFonts w:ascii="Times New Roman" w:hAnsi="Times New Roman" w:cs="Times New Roman"/>
          <w:noProof/>
        </w:rPr>
        <w:drawing>
          <wp:inline distT="0" distB="0" distL="0" distR="0" wp14:anchorId="76E88F78" wp14:editId="4A31C9C5">
            <wp:extent cx="2150266" cy="2194560"/>
            <wp:effectExtent l="0" t="0" r="0" b="0"/>
            <wp:docPr id="10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png"/>
                    <pic:cNvPicPr/>
                  </pic:nvPicPr>
                  <pic:blipFill>
                    <a:blip r:embed="rId4"/>
                    <a:stretch>
                      <a:fillRect/>
                    </a:stretch>
                  </pic:blipFill>
                  <pic:spPr>
                    <a:xfrm>
                      <a:off x="0" y="0"/>
                      <a:ext cx="2150266" cy="2194560"/>
                    </a:xfrm>
                    <a:prstGeom prst="rect">
                      <a:avLst/>
                    </a:prstGeom>
                  </pic:spPr>
                </pic:pic>
              </a:graphicData>
            </a:graphic>
          </wp:inline>
        </w:drawing>
      </w:r>
    </w:p>
    <w:p w14:paraId="7862EE75" w14:textId="77777777" w:rsidR="004772C6" w:rsidRPr="00CB69DF" w:rsidRDefault="00000000" w:rsidP="00CB69DF">
      <w:pPr>
        <w:spacing w:before="40" w:after="200"/>
        <w:jc w:val="center"/>
        <w:rPr>
          <w:rFonts w:ascii="Times New Roman" w:hAnsi="Times New Roman" w:cs="Times New Roman"/>
          <w:b/>
          <w:i/>
          <w:iCs/>
        </w:rPr>
      </w:pPr>
      <w:r w:rsidRPr="00CB69DF">
        <w:rPr>
          <w:rFonts w:ascii="Times New Roman" w:hAnsi="Times New Roman" w:cs="Times New Roman"/>
          <w:b/>
          <w:i/>
          <w:iCs/>
          <w:sz w:val="18"/>
          <w:szCs w:val="18"/>
        </w:rPr>
        <w:t>Figure 1. Real versus generated samples for the sine-wave GAN.</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 shows generated points lying along the true curve, with only minor scatter near the turning points where the nonlinearity is greatest. The losses settle at equilibrium and hold, with the discriminator around 1.38 and the generator around 0.70 (final D=1.3778, G=0.6964). A discriminator loss near 2*ln(2), about 1.386, signals a balanced game in which it can no longer separate real from fake, so the pipeline behaves as intended.</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For the new distribution I chose a mixture of Gaussians: eight isotropic modes on a ring of radius 2.0 with per-mode standard deviation 0.05, trained for 8,000 steps. A ring of well-separated modes is the standard probe for mode collapse, since a collapsed generator would cover only some of the eight blobs. The architecture task then changes only the network, moving from the 2x128 ReLU baseline to a deeper, wider 4x256 network with the self-normalising SELU activation (Klambauer et al., 2017), which keeps activations well-scaled in deeper stacks.</w:t>
      </w:r>
    </w:p>
    <w:p w14:paraId="12F05E7A"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4A3F2372" wp14:editId="09D91759">
            <wp:extent cx="4105575" cy="2194560"/>
            <wp:effectExtent l="0" t="0" r="0" b="0"/>
            <wp:docPr id="10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png"/>
                    <pic:cNvPicPr/>
                  </pic:nvPicPr>
                  <pic:blipFill>
                    <a:blip r:embed="rId5"/>
                    <a:stretch>
                      <a:fillRect/>
                    </a:stretch>
                  </pic:blipFill>
                  <pic:spPr>
                    <a:xfrm>
                      <a:off x="0" y="0"/>
                      <a:ext cx="4105575" cy="2194560"/>
                    </a:xfrm>
                    <a:prstGeom prst="rect">
                      <a:avLst/>
                    </a:prstGeom>
                  </pic:spPr>
                </pic:pic>
              </a:graphicData>
            </a:graphic>
          </wp:inline>
        </w:drawing>
      </w:r>
    </w:p>
    <w:p w14:paraId="2A6521DF"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2. Architecture comparison on the mixture of Gaussians.</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2 captures both tasks at once. The baseline (left) reaches all eight modes, so there is no hard mode collapse, but the red cloud is loose and fills the gaps between blobs rather than sitting on the centres, the classic 'covers the modes but not sharply' behaviour of a small vanilla GAN. The enhanced network (right) tightens the samples onto the mode centres and traces a clean ring; losses stay stable (enhanced ends at D=1.4444, G=0.8657), so the extra depth, width and smoother activation buy sample sharpness, not a fix for a collapse that never occurred.</w:t>
      </w:r>
    </w:p>
    <w:p>
      <w:pPr>
        <w:spacing w:before="240" w:after="100"/>
        <w:jc w:val="both"/>
        <w:rPr>
          <w:rFonts w:ascii="Times New Roman" w:hAnsi="Times New Roman" w:cs="Times New Roman"/>
        </w:rPr>
      </w:pPr>
      <w:r>
        <w:rPr>
          <w:rFonts w:ascii="Times New Roman" w:hAnsi="Times New Roman" w:cs="Times New Roman"/>
          <w:b/>
        </w:rPr>
        <w:t xml:space="preserve">4. Medical imaging: OCTMNIST retinal scans</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OCTMNIST is a MedMNIST subset of 28x28 greyscale retinal OCT scans in four diagnostic classes (Yang et al., 2023). A DCGAN suits images because it replaces dense layers with strided and transposed convolutions, adds batch normalisation and LeakyReLU/ReLU activations, and uses a weight-init recipe shown to stabilise image GANs (Radford, Metz and Chintala, 2015). Images are worked at 32x32 (a clean power of two for the four conv stages) and scaled to [-1, 1] to match the generator's Tanh.</w:t>
      </w:r>
    </w:p>
    <w:p w14:paraId="6EDC51C5" w14:textId="77777777" w:rsidR="004772C6"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AE58847" wp14:editId="449068BB">
            <wp:extent cx="3871429" cy="2194560"/>
            <wp:effectExtent l="0" t="0" r="0" b="0"/>
            <wp:docPr id="10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png"/>
                    <pic:cNvPicPr/>
                  </pic:nvPicPr>
                  <pic:blipFill>
                    <a:blip r:embed="rId6"/>
                    <a:stretch>
                      <a:fillRect/>
                    </a:stretch>
                  </pic:blipFill>
                  <pic:spPr>
                    <a:xfrm>
                      <a:off x="0" y="0"/>
                      <a:ext cx="3871429" cy="2194560"/>
                    </a:xfrm>
                    <a:prstGeom prst="rect">
                      <a:avLst/>
                    </a:prstGeom>
                  </pic:spPr>
                </pic:pic>
              </a:graphicData>
            </a:graphic>
          </wp:inline>
        </w:drawing>
      </w:r>
    </w:p>
    <w:p w14:paraId="1539D553"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3. Class distribution of the OCTMNIST training split.</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The data have four classes (choroidal neovascularisation, diabetic macular oedema, drusen, normal) and a training split of shape (97477, 28, 28). Figure 3 shows a marked imbalance of roughly 6:1, which matters for the conditional extension, because without correction the minority classes barely train. The unconditional DCGAN uses a random 40,000-image subset.</w:t>
      </w:r>
    </w:p>
    <w:p w14:paraId="7877CB42"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4B8D8194" wp14:editId="1EF1EDB1">
            <wp:extent cx="3805401" cy="2194560"/>
            <wp:effectExtent l="0" t="0" r="0" b="0"/>
            <wp:docPr id="10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png"/>
                    <pic:cNvPicPr/>
                  </pic:nvPicPr>
                  <pic:blipFill>
                    <a:blip r:embed="rId7"/>
                    <a:stretch>
                      <a:fillRect/>
                    </a:stretch>
                  </pic:blipFill>
                  <pic:spPr>
                    <a:xfrm>
                      <a:off x="0" y="0"/>
                      <a:ext cx="3805401" cy="2194560"/>
                    </a:xfrm>
                    <a:prstGeom prst="rect">
                      <a:avLst/>
                    </a:prstGeom>
                  </pic:spPr>
                </pic:pic>
              </a:graphicData>
            </a:graphic>
          </wp:inline>
        </w:drawing>
      </w:r>
    </w:p>
    <w:p w14:paraId="26BD958B"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4. Generator/discriminator losses during OCTMNIST DCGAN training.</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4 tracks 40 epochs. Training starts unbalanced (D=0.39, G=5.35 at epoch 1), with the discriminator dominating, then moves into a closer back-and-forth (D about 0.9 to 1.1, G about 1.3 to 2.6), the healthy shape of a DCGAN that is learning steadily and not collapsing. The occasional spike, for example epoch 19 at D=3.16, is normal adversarial oscillation and not divergence.</w:t>
      </w:r>
    </w:p>
    <w:p w14:paraId="017839C4"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362D353B" wp14:editId="4686E771">
            <wp:extent cx="4206240" cy="1846318"/>
            <wp:effectExtent l="0" t="0" r="0" b="0"/>
            <wp:docPr id="10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png"/>
                    <pic:cNvPicPr/>
                  </pic:nvPicPr>
                  <pic:blipFill rotWithShape="1">
                    <a:blip r:embed="rId8"/>
                    <a:srcRect t="35837"/>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7C4CC07B" w14:textId="62F257B6"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 xml:space="preserve">Figure 5. Real </w:t>
      </w:r>
      <w:r w:rsidR="00CB69DF">
        <w:rPr>
          <w:rFonts w:ascii="Times New Roman" w:hAnsi="Times New Roman" w:cs="Times New Roman"/>
          <w:b/>
          <w:i/>
          <w:iCs/>
          <w:sz w:val="20"/>
          <w:szCs w:val="20"/>
        </w:rPr>
        <w:t>vs</w:t>
      </w:r>
      <w:r w:rsidRPr="00CB69DF">
        <w:rPr>
          <w:rFonts w:ascii="Times New Roman" w:hAnsi="Times New Roman" w:cs="Times New Roman"/>
          <w:b/>
          <w:i/>
          <w:iCs/>
          <w:sz w:val="20"/>
          <w:szCs w:val="20"/>
        </w:rPr>
        <w:t xml:space="preserve"> generated OCT scans, FID = 43.70.</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5 applies the first evaluation tool. The generator scores FID = 43.70; visually the fakes capture the bright curved retinal band over a darker background and are varied and not collapsed, though they are softer with occasionally smeared sub-layers, consistent with a mid-40s FID at 32x32 after 40 epochs. Following the reasoning of the evaluation strategy, the score is read as directional, since Inception was trained on natural RGB photos rather than greyscale scans. For the extension, to generate a chosen class on demand I built a conditional DCGAN (Mirza and Osindero, 2014), embedding the label and concatenating it with the latent vector for the generator while adding it as a discriminator input channel.</w:t>
      </w:r>
    </w:p>
    <w:p w14:paraId="4133AA9E"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lastRenderedPageBreak/>
        <w:drawing>
          <wp:inline distT="0" distB="0" distL="0" distR="0" wp14:anchorId="1D3A8BFC" wp14:editId="069AB406">
            <wp:extent cx="3990109" cy="2194560"/>
            <wp:effectExtent l="0" t="0" r="0" b="0"/>
            <wp:docPr id="10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png"/>
                    <pic:cNvPicPr/>
                  </pic:nvPicPr>
                  <pic:blipFill>
                    <a:blip r:embed="rId9"/>
                    <a:stretch>
                      <a:fillRect/>
                    </a:stretch>
                  </pic:blipFill>
                  <pic:spPr>
                    <a:xfrm>
                      <a:off x="0" y="0"/>
                      <a:ext cx="3990109" cy="2194560"/>
                    </a:xfrm>
                    <a:prstGeom prst="rect">
                      <a:avLst/>
                    </a:prstGeom>
                  </pic:spPr>
                </pic:pic>
              </a:graphicData>
            </a:graphic>
          </wp:inline>
        </w:drawing>
      </w:r>
    </w:p>
    <w:p w14:paraId="7625457D"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6. Class-conditional samples from the cGAN extension.</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A naive version collapsed (discriminator loss to zero, generator loss diverging, noise output). Three fixes stabilised it: one-sided label smoothing to curb discriminator over-confidence, a two time-scale update rule with a slower discriminator (Heusel et al., 2017), and class-balanced sampling for the 6:1 imbalance. Figure 6 shows samples generated per class on request, with losses recovering from D=0.66, G=3.03 at epoch 1 into a stable range; the between-class differences stay subtle, reflecting how similar these scans look even in the real data. The 'ducks' prompt applies directly: the DCGAN has no idea it is looking at eyes, only at the statistics of 32x32 arrays, so it can render convincing structure with no anatomical basis. Synthetic scans are fine for augmentation or teaching but should not feed a diagnostic pipeline without expert review.</w:t>
      </w:r>
    </w:p>
    <w:p>
      <w:pPr>
        <w:spacing w:before="240" w:after="100"/>
        <w:jc w:val="both"/>
        <w:rPr>
          <w:rFonts w:ascii="Times New Roman" w:hAnsi="Times New Roman" w:cs="Times New Roman"/>
        </w:rPr>
      </w:pPr>
      <w:r>
        <w:rPr>
          <w:rFonts w:ascii="Times New Roman" w:hAnsi="Times New Roman" w:cs="Times New Roman"/>
          <w:b/>
        </w:rPr>
        <w:t xml:space="preserve">5. Cybersecurity: synthetic CICIDS 2017 traffic</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CICIDS 2017 stores each flow as a vector of roughly 78 numeric features instead of an image (Sharafaldin, Lashkari and Ghorbani, 2018). Because the data are tabular with no spatial locality, a convolutional DCGAN is inappropriate, so I use a fully-connected GAN that keeps the DCGAN recipe (adversarial loss, generator batch normalisation, a LeakyReLU discriminator with dropout, Adam, label smoothing) but uses dense layers and a linear output, since the standardised features are unbounded. Following the brief, I combine all per-day CSVs, then train on Wednesday.</w:t>
      </w:r>
    </w:p>
    <w:p w14:paraId="402C3CE6"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5E7FE95D" wp14:editId="6C286FF8">
            <wp:extent cx="4206240" cy="1101702"/>
            <wp:effectExtent l="0" t="0" r="0" b="0"/>
            <wp:docPr id="10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7.png"/>
                    <pic:cNvPicPr/>
                  </pic:nvPicPr>
                  <pic:blipFill>
                    <a:blip r:embed="rId10"/>
                    <a:stretch>
                      <a:fillRect/>
                    </a:stretch>
                  </pic:blipFill>
                  <pic:spPr>
                    <a:xfrm>
                      <a:off x="0" y="0"/>
                      <a:ext cx="4206240" cy="1101702"/>
                    </a:xfrm>
                    <a:prstGeom prst="rect">
                      <a:avLst/>
                    </a:prstGeom>
                  </pic:spPr>
                </pic:pic>
              </a:graphicData>
            </a:graphic>
          </wp:inline>
        </w:drawing>
      </w:r>
    </w:p>
    <w:p w14:paraId="7C290B42"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7. Combined CICIDS 2017 class balance and per-day volumes.</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Merging the eight files gives 2,830,743 flows across 80 columns with 78 numeric features, needing 4,376 infinite and 1,358 missing values cleaned. Figure 7 shows BENIGN dominating so heavily that a log scale is needed to see the attacks. A label note: the brief says 'DDoS', but Wednesday contains single-source DoS attacks (Hulk, GoldenEye, slowloris, Slowhttptest), so I treat it as BENIGN vs DoS and flag the mismatch deliberately. Wednesday's largest labels are BENIGN = 440,031 and DoS Hulk = 231,073. Features are standardised and clipped to plus or minus 5 sigma so outliers cannot destabilise training, and the GAN trains on a 20,000-row sample for 60 epochs (ending D=1.0189, G=1.4104).</w:t>
      </w:r>
    </w:p>
    <w:p w14:paraId="559B18A2"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65C7F78" wp14:editId="3FFC13E3">
            <wp:extent cx="2500590" cy="2194560"/>
            <wp:effectExtent l="0" t="0" r="0" b="0"/>
            <wp:docPr id="10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8.png"/>
                    <pic:cNvPicPr/>
                  </pic:nvPicPr>
                  <pic:blipFill>
                    <a:blip r:embed="rId11"/>
                    <a:stretch>
                      <a:fillRect/>
                    </a:stretch>
                  </pic:blipFill>
                  <pic:spPr>
                    <a:xfrm>
                      <a:off x="0" y="0"/>
                      <a:ext cx="2500590" cy="2194560"/>
                    </a:xfrm>
                    <a:prstGeom prst="rect">
                      <a:avLst/>
                    </a:prstGeom>
                  </pic:spPr>
                </pic:pic>
              </a:graphicData>
            </a:graphic>
          </wp:inline>
        </w:drawing>
      </w:r>
    </w:p>
    <w:p w14:paraId="3A0CE581"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8. t-SNE of real versus synthetic Wednesday traffic.</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Now the second and third evaluation tools apply. Since a feature vector cannot be eyeballed, alignment is judged via PCA (linear) and t-SNE (nonlinear). Figure 8 shows the synthetic cloud sitting on the dense BENIGN region and pushing partway into the DoS clusters without reproducing their separate structure. Quantitatively, the average absolute per-feature gap (standardised) is 0.1387 on the means and 0.2480 on the standard deviations, so the generator matches where most traffic lives and the typical feature values, but is smoother than the real data and misses the DoS tails, the usual result for a plain unconditional GAN on heavy-tailed, partly-binary features.</w:t>
      </w:r>
    </w:p>
    <w:p w14:paraId="1B9451BC"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72A2085F" wp14:editId="6151A375">
            <wp:extent cx="2810647" cy="2194560"/>
            <wp:effectExtent l="0" t="0" r="0" b="0"/>
            <wp:docPr id="10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9.png"/>
                    <pic:cNvPicPr/>
                  </pic:nvPicPr>
                  <pic:blipFill>
                    <a:blip r:embed="rId12"/>
                    <a:stretch>
                      <a:fillRect/>
                    </a:stretch>
                  </pic:blipFill>
                  <pic:spPr>
                    <a:xfrm>
                      <a:off x="0" y="0"/>
                      <a:ext cx="2810647" cy="2194560"/>
                    </a:xfrm>
                    <a:prstGeom prst="rect">
                      <a:avLst/>
                    </a:prstGeom>
                  </pic:spPr>
                </pic:pic>
              </a:graphicData>
            </a:graphic>
          </wp:inline>
        </w:drawing>
      </w:r>
    </w:p>
    <w:p w14:paraId="24104A4D"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9. All-days PCA, real points coloured by attack family.</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For the extension across all days, retraining on the full dataset (2,827,876 rows, 30,000 sampled) tests coverage across attack families. Figure 9 colours real points by family; the synthetic cloud leans to BENIGN and the large attack blobs while barely touching the rare families, since the comparison sample holds only 2 Bot, 11 Brute Force and 2 Web Attack real points. Adding data slightly improves the mean-gap (0.1009 vs 0.1387) but worsens the std-gap (0.3004 vs 0.2480): more data sharpens the averages yet cannot cover the extra variance, so a single unconditional GAN does not generalise across families, and a conditional GAN or per-family models would follow. The 'duck' point bites harder here, since a synthetic flow can be statistically plausible yet physically impossible, which is why the overlap and per-feature-gap checks matter more than any visual inspection.</w:t>
      </w:r>
    </w:p>
    <w:p>
      <w:pPr>
        <w:spacing w:before="240" w:after="100"/>
        <w:jc w:val="both"/>
        <w:rPr>
          <w:rFonts w:ascii="Times New Roman" w:hAnsi="Times New Roman" w:cs="Times New Roman"/>
        </w:rPr>
      </w:pPr>
      <w:r>
        <w:rPr>
          <w:rFonts w:ascii="Times New Roman" w:hAnsi="Times New Roman" w:cs="Times New Roman"/>
          <w:b/>
        </w:rPr>
        <w:t xml:space="preserve">6. Creative sketching: QuickDraw birthday cakes</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The final task trains a DCGAN on the QuickDraw 'birthday cake' set of 28x28 greyscale sketch bitmaps (Ha and Eck, 2018). I implement it in TensorFlow/Keras in the model.fit style: a functional-API generator and discriminator wrapped in a keras.Model subclass whose train_step performs the adversarial update, deliberately showing a different framework and style from earlier parts. The config is a 100-d latent vector, 48 base feature maps, Adam at lr = 0.00015 (beta1 = 0.5) and 35 epochs at batch 256; the generator has 677,952 parameters. Of 144,982 available sketches I train on a random 30,000.</w:t>
      </w:r>
    </w:p>
    <w:p w14:paraId="518AE32B"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17F89386" wp14:editId="71B1EB72">
            <wp:extent cx="3986784" cy="2194560"/>
            <wp:effectExtent l="0" t="0" r="0" b="0"/>
            <wp:docPr id="1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10.png"/>
                    <pic:cNvPicPr/>
                  </pic:nvPicPr>
                  <pic:blipFill>
                    <a:blip r:embed="rId13"/>
                    <a:stretch>
                      <a:fillRect/>
                    </a:stretch>
                  </pic:blipFill>
                  <pic:spPr>
                    <a:xfrm>
                      <a:off x="0" y="0"/>
                      <a:ext cx="3986784" cy="2194560"/>
                    </a:xfrm>
                    <a:prstGeom prst="rect">
                      <a:avLst/>
                    </a:prstGeom>
                  </pic:spPr>
                </pic:pic>
              </a:graphicData>
            </a:graphic>
          </wp:inline>
        </w:drawing>
      </w:r>
    </w:p>
    <w:p w14:paraId="5839D065"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10. Real versus generated birthday-cake sketches, FID = 42.13.</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10 applies the FID tool again; the model scores FID = 42.13 using the same InceptionV3 approach as the medical section. The cakes are clearly recognisable, showing a rounded or rectangular body, candles and often a plate, with line-art faults such as broken strokes and speckle visible up close but not hiding the subject. Losses stay in a healthy back-and-forth (from d_loss=0.55, g_loss=2.84 at epoch 1), with only occasional spikes.</w:t>
      </w:r>
    </w:p>
    <w:p w14:paraId="42F24930"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58C53309" wp14:editId="2043CF9D">
            <wp:extent cx="4206240" cy="978609"/>
            <wp:effectExtent l="0" t="0" r="0" b="0"/>
            <wp:docPr id="1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11.png"/>
                    <pic:cNvPicPr/>
                  </pic:nvPicPr>
                  <pic:blipFill>
                    <a:blip r:embed="rId14"/>
                    <a:stretch>
                      <a:fillRect/>
                    </a:stretch>
                  </pic:blipFill>
                  <pic:spPr>
                    <a:xfrm>
                      <a:off x="0" y="0"/>
                      <a:ext cx="4206240" cy="978609"/>
                    </a:xfrm>
                    <a:prstGeom prst="rect">
                      <a:avLst/>
                    </a:prstGeom>
                  </pic:spPr>
                </pic:pic>
              </a:graphicData>
            </a:graphic>
          </wp:inline>
        </w:drawing>
      </w:r>
    </w:p>
    <w:p w14:paraId="63EE7D9E"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11. Sample progression across training epochs.</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11 shows fixed-noise samples at five epochs. Early snapshots are blurry blobs; later ones sharpen into cake outlines with candles, the qualitative counterpart to the losses stabilising. Tracking the same noise over time separates genuine learning from mode-hopping, since the samples evolve smoothly towards structure instead of jumping between shapes.</w:t>
      </w:r>
    </w:p>
    <w:p w14:paraId="33D88280"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48090BA" wp14:editId="6B7328A2">
            <wp:extent cx="4206240" cy="1821125"/>
            <wp:effectExtent l="0" t="0" r="0" b="0"/>
            <wp:docPr id="1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2.png"/>
                    <pic:cNvPicPr/>
                  </pic:nvPicPr>
                  <pic:blipFill>
                    <a:blip r:embed="rId15"/>
                    <a:stretch>
                      <a:fillRect/>
                    </a:stretch>
                  </pic:blipFill>
                  <pic:spPr>
                    <a:xfrm>
                      <a:off x="0" y="0"/>
                      <a:ext cx="4206240" cy="1821125"/>
                    </a:xfrm>
                    <a:prstGeom prst="rect">
                      <a:avLst/>
                    </a:prstGeom>
                  </pic:spPr>
                </pic:pic>
              </a:graphicData>
            </a:graphic>
          </wp:inline>
        </w:drawing>
      </w:r>
    </w:p>
    <w:p w14:paraId="14132EC9" w14:textId="77777777" w:rsidR="004772C6" w:rsidRPr="00CB69DF" w:rsidRDefault="00000000" w:rsidP="00CB69DF">
      <w:pPr>
        <w:spacing w:before="40" w:after="200"/>
        <w:jc w:val="center"/>
        <w:rPr>
          <w:rFonts w:ascii="Times New Roman" w:hAnsi="Times New Roman" w:cs="Times New Roman"/>
          <w:sz w:val="20"/>
          <w:szCs w:val="20"/>
        </w:rPr>
      </w:pPr>
      <w:r w:rsidRPr="00CB69DF">
        <w:rPr>
          <w:rFonts w:ascii="Times New Roman" w:hAnsi="Times New Roman" w:cs="Times New Roman"/>
          <w:b/>
          <w:sz w:val="20"/>
          <w:szCs w:val="20"/>
        </w:rPr>
        <w:t>Figure 12.</w:t>
      </w:r>
      <w:r w:rsidRPr="00CB69DF">
        <w:rPr>
          <w:rFonts w:ascii="Times New Roman" w:hAnsi="Times New Roman" w:cs="Times New Roman"/>
          <w:sz w:val="20"/>
          <w:szCs w:val="20"/>
        </w:rPr>
        <w:t xml:space="preserve"> Cross-category FID versus ink-fraction complexity proxy.</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12 reports house = 35.22, cat = 39.53, cake = 42.13, while the ink-fractions are nearly flat (0.2368, 0.2655, 0.2708). Since ink density barely varies, it cannot explain the FID differences. House is the easiest, which fits intuition, because houses are structurally rigid whereas cats and cakes vary more in pose, tiers and candle count. Shape variety, not ink coverage, drives the difficulty, and the ordering of house then cat then cake follows increasing structural variety.</w:t>
      </w:r>
    </w:p>
    <w:p>
      <w:pPr>
        <w:spacing w:before="240" w:after="100"/>
        <w:jc w:val="both"/>
        <w:rPr>
          <w:rFonts w:ascii="Times New Roman" w:hAnsi="Times New Roman" w:cs="Times New Roman"/>
        </w:rPr>
      </w:pPr>
      <w:r>
        <w:rPr>
          <w:rFonts w:ascii="Times New Roman" w:hAnsi="Times New Roman" w:cs="Times New Roman"/>
          <w:b/>
        </w:rPr>
        <w:t xml:space="preserve">7. Discussion and future work</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Read through the evaluation lens, a consistent story emerges. On the 2D data the visual check is enough: the MLP learned the sine wave almost perfectly and reached every mode of the Gaussian ring, and depth, width and SELU sharpened the samples without altering coverage. Where a visual check is unreliable, the metrics carry the weight: FID placed the OCT scans in the mid-40s (43.70) and the cake sketches close behind (42.13), directional scores consistent with the visible softness, while the CICIDS moment gaps (0.1387 / 0.2480 on Wednesday) exposed a generator that matches the bulk of traffic but understates its spread. Each tool caught what the others could not, which is the argument for using all three.</w:t>
      </w:r>
    </w:p>
    <w:p>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Three directions follow. First, coverage of rare classes: both the OCT imbalance and the CICIDS rare-attack failure point to conditional generation, per-class models or minority-aware sampling. Second, better-matched evaluation: ImageNet-based FID is only directional for greyscale scans and line-art, so a domain-specific extractor or a 'train-on-synthetic, test-on-real' classifier would give a more trustworthy signal. Third, stronger objectives: a Wasserstein loss with gradient penalty (Gulrajani et al., 2017) would likely tighten the loose Gaussian-mixture and smoothed CICIDS distributions. The recurring lesson, framed by the 'duck' question, is that a GAN learns statistical resemblance, never semantic correctness, so synthetic medical or security data must be validated before it is trusted downstream.</w:t>
      </w:r>
    </w:p>
    <w:p>
      <w:pPr>
        <w:spacing w:before="240" w:after="100"/>
        <w:jc w:val="both"/>
        <w:rPr>
          <w:rFonts w:ascii="Times New Roman" w:hAnsi="Times New Roman" w:cs="Times New Roman"/>
        </w:rPr>
      </w:pPr>
      <w:r>
        <w:rPr>
          <w:rFonts w:ascii="Times New Roman" w:hAnsi="Times New Roman" w:cs="Times New Roman"/>
          <w:b/>
        </w:rPr>
        <w:t xml:space="preserve">References</w:t>
      </w:r>
    </w:p>
    <w:p w14:paraId="16A64A6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Goodfellow, I. et al. (2014) 'Generative adversarial nets', in </w:t>
      </w:r>
      <w:r w:rsidRPr="00CB69DF">
        <w:rPr>
          <w:rFonts w:ascii="Times New Roman" w:hAnsi="Times New Roman" w:cs="Times New Roman"/>
          <w:i/>
          <w:sz w:val="20"/>
          <w:szCs w:val="20"/>
        </w:rPr>
        <w:t>Advances in Neural Information Processing Systems (NeurIPS) 27</w:t>
      </w:r>
      <w:r w:rsidRPr="00CB69DF">
        <w:rPr>
          <w:rFonts w:ascii="Times New Roman" w:hAnsi="Times New Roman" w:cs="Times New Roman"/>
          <w:sz w:val="20"/>
          <w:szCs w:val="20"/>
        </w:rPr>
        <w:t>. Montreal, pp. 2672-2680.</w:t>
      </w:r>
    </w:p>
    <w:p w14:paraId="04822A9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Gulrajani, I. et al. (2017) 'Improved training of Wasserstein GANs',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5767-5777.</w:t>
      </w:r>
    </w:p>
    <w:p w14:paraId="10A99BE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lastRenderedPageBreak/>
        <w:t xml:space="preserve">Ha, D. and Eck, D. (2018) 'A neural representation of sketch drawings', in </w:t>
      </w:r>
      <w:r w:rsidRPr="00CB69DF">
        <w:rPr>
          <w:rFonts w:ascii="Times New Roman" w:hAnsi="Times New Roman" w:cs="Times New Roman"/>
          <w:i/>
          <w:sz w:val="20"/>
          <w:szCs w:val="20"/>
        </w:rPr>
        <w:t>International Conference on Learning Representations (ICLR)</w:t>
      </w:r>
      <w:r w:rsidRPr="00CB69DF">
        <w:rPr>
          <w:rFonts w:ascii="Times New Roman" w:hAnsi="Times New Roman" w:cs="Times New Roman"/>
          <w:sz w:val="20"/>
          <w:szCs w:val="20"/>
        </w:rPr>
        <w:t>. Vancouver.</w:t>
      </w:r>
    </w:p>
    <w:p w14:paraId="55CEE91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Heusel, M. et al. (2017) 'GANs trained by a two time-scale update rule converge to a local Nash equilibrium',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6626-6637.</w:t>
      </w:r>
    </w:p>
    <w:p w14:paraId="7DD056EA"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Klambauer, G. et al. (2017) 'Self-normalizing neural networks',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971-980.</w:t>
      </w:r>
    </w:p>
    <w:p w14:paraId="3CA3471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Mirza, M. and Osindero, S. (2014) 'Conditional generative adversarial nets', </w:t>
      </w:r>
      <w:r w:rsidRPr="00CB69DF">
        <w:rPr>
          <w:rFonts w:ascii="Times New Roman" w:hAnsi="Times New Roman" w:cs="Times New Roman"/>
          <w:i/>
          <w:sz w:val="20"/>
          <w:szCs w:val="20"/>
        </w:rPr>
        <w:t>arXiv preprint</w:t>
      </w:r>
      <w:r w:rsidRPr="00CB69DF">
        <w:rPr>
          <w:rFonts w:ascii="Times New Roman" w:hAnsi="Times New Roman" w:cs="Times New Roman"/>
          <w:sz w:val="20"/>
          <w:szCs w:val="20"/>
        </w:rPr>
        <w:t xml:space="preserve"> arXiv:1411.1784.</w:t>
      </w:r>
    </w:p>
    <w:p w14:paraId="5EEC2A54"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Radford, A., Metz, L. and Chintala, S. (2015) 'Unsupervised representation learning with deep convolutional generative adversarial networks', </w:t>
      </w:r>
      <w:r w:rsidRPr="00CB69DF">
        <w:rPr>
          <w:rFonts w:ascii="Times New Roman" w:hAnsi="Times New Roman" w:cs="Times New Roman"/>
          <w:i/>
          <w:sz w:val="20"/>
          <w:szCs w:val="20"/>
        </w:rPr>
        <w:t>arXiv preprint</w:t>
      </w:r>
      <w:r w:rsidRPr="00CB69DF">
        <w:rPr>
          <w:rFonts w:ascii="Times New Roman" w:hAnsi="Times New Roman" w:cs="Times New Roman"/>
          <w:sz w:val="20"/>
          <w:szCs w:val="20"/>
        </w:rPr>
        <w:t xml:space="preserve"> arXiv:1511.06434.</w:t>
      </w:r>
    </w:p>
    <w:p w14:paraId="2520CFF4"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Sharafaldin, I., Lashkari, A.H. and Ghorbani, A.A. (2018) 'Toward generating a new intrusion detection dataset and intrusion traffic characterization', in </w:t>
      </w:r>
      <w:r w:rsidRPr="00CB69DF">
        <w:rPr>
          <w:rFonts w:ascii="Times New Roman" w:hAnsi="Times New Roman" w:cs="Times New Roman"/>
          <w:i/>
          <w:sz w:val="20"/>
          <w:szCs w:val="20"/>
        </w:rPr>
        <w:t>Proceedings of the 4th International Conference on Information Systems Security and Privacy (ICISSP)</w:t>
      </w:r>
      <w:r w:rsidRPr="00CB69DF">
        <w:rPr>
          <w:rFonts w:ascii="Times New Roman" w:hAnsi="Times New Roman" w:cs="Times New Roman"/>
          <w:sz w:val="20"/>
          <w:szCs w:val="20"/>
        </w:rPr>
        <w:t>. Funchal, pp. 108-116.</w:t>
      </w:r>
    </w:p>
    <w:p w14:paraId="76D68BA5"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van der Maaten, L. and Hinton, G. (2008) 'Visualizing data using t-SNE', </w:t>
      </w:r>
      <w:r w:rsidRPr="00CB69DF">
        <w:rPr>
          <w:rFonts w:ascii="Times New Roman" w:hAnsi="Times New Roman" w:cs="Times New Roman"/>
          <w:i/>
          <w:sz w:val="20"/>
          <w:szCs w:val="20"/>
        </w:rPr>
        <w:t>Journal of Machine Learning Research</w:t>
      </w:r>
      <w:r w:rsidRPr="00CB69DF">
        <w:rPr>
          <w:rFonts w:ascii="Times New Roman" w:hAnsi="Times New Roman" w:cs="Times New Roman"/>
          <w:sz w:val="20"/>
          <w:szCs w:val="20"/>
        </w:rPr>
        <w:t>, 9, pp. 2579-2605.</w:t>
      </w:r>
    </w:p>
    <w:p w14:paraId="1FB8282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Yang, J. et al. (2023) 'MedMNIST v2 - a large-scale lightweight benchmark for 2D and 3D biomedical image classification', </w:t>
      </w:r>
      <w:r w:rsidRPr="00CB69DF">
        <w:rPr>
          <w:rFonts w:ascii="Times New Roman" w:hAnsi="Times New Roman" w:cs="Times New Roman"/>
          <w:i/>
          <w:sz w:val="20"/>
          <w:szCs w:val="20"/>
        </w:rPr>
        <w:t>Scientific Data</w:t>
      </w:r>
      <w:r w:rsidRPr="00CB69DF">
        <w:rPr>
          <w:rFonts w:ascii="Times New Roman" w:hAnsi="Times New Roman" w:cs="Times New Roman"/>
          <w:sz w:val="20"/>
          <w:szCs w:val="20"/>
        </w:rPr>
        <w:t>, 10(1), 41.</w:t>
      </w:r>
    </w:p>
    <w:sectPr w:rsidR="004772C6" w:rsidRPr="00CB69D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C6"/>
    <w:rsid w:val="004772C6"/>
    <w:rsid w:val="00CB69DF"/>
    <w:rsid w:val="00E071A7"/>
    <w:rsid w:val="00E36AD5"/>
    <w:rsid w:val="00FC16A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614F"/>
  <w15:docId w15:val="{1144DAEC-4DBE-493E-A042-0362E3927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2359</Words>
  <Characters>13448</Characters>
  <Application>Microsoft Office Word</Application>
  <DocSecurity>0</DocSecurity>
  <Lines>112</Lines>
  <Paragraphs>31</Paragraphs>
  <ScaleCrop>false</ScaleCrop>
  <Company/>
  <LinksUpToDate>false</LinksUpToDate>
  <CharactersWithSpaces>15776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2026-07-29T16:48:00Z</dcterms:created>
  <dcterms:modified xsi:type="dcterms:W3CDTF">2026-07-29T16:48:00Z</dcterms:modified>
</cp:coreProperties>
</file>