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 xml:space="preserve">Generative Adversarial Networks:</w:t>
      </w:r>
    </w:p>
    <w:p>
      <w:pPr>
        <w:pStyle w:val="Title"/>
      </w:pPr>
      <w:r>
        <w:rPr/>
        <w:t xml:space="preserve">From 2D Toy Data to Real-World Applications</w:t>
      </w:r>
    </w:p>
    <w:p>
      <w:pPr>
        <w:jc w:val="center"/>
      </w:pPr>
      <w:r>
        <w:rPr>
          <w:b/>
        </w:rPr>
        <w:t xml:space="preserve">Student Name:</w:t>
      </w:r>
    </w:p>
    <w:p>
      <w:pPr>
        <w:jc w:val="center"/>
      </w:pPr>
      <w:r>
        <w:rPr>
          <w:b/>
        </w:rPr>
        <w:t xml:space="preserve">Student ID:</w:t>
      </w:r>
    </w:p>
    <w:p>
      <w:pPr>
        <w:jc w:val="center"/>
      </w:pPr>
      <w:r>
        <w:rPr>
          <w:b/>
        </w:rPr>
        <w:t xml:space="preserve">Github Url: </w:t>
      </w:r>
      <w:r>
        <w:rPr/>
        <w:t xml:space="preserve">https://github.com/nithinreddy2003/GAN_Assignments</w:t>
      </w:r>
    </w:p>
    <w:p>
      <w:pPr>
        <w:pStyle w:val="Heading1"/>
      </w:pPr>
      <w:r>
        <w:rPr/>
        <w:t xml:space="preserve">1. Introduction</w:t>
      </w:r>
    </w:p>
    <w:p>
      <w:pPr>
        <w:spacing w:after="140"/>
        <w:jc w:val="both"/>
      </w:pPr>
      <w:r>
        <w:rPr/>
        <w:t xml:space="preserve">This report presents a single, comparative study of generative adversarial networks (GANs) across four datasets. A GAN couples a generator, which maps noise to samples, with a discriminator, which learns to tell real data from generated data; the two train in opposition until the discriminator can no longer separate them, at which point the generator has approximated the data distribution (Goodfellow et al., 2014). A single training recipe is defined once and applied unchanged wherever possible, turning the four experiments into a controlled comparison in which differences in outcome trace to the data and the few design choices that genuinely vary.</w:t>
      </w:r>
    </w:p>
    <w:p>
      <w:pPr>
        <w:spacing w:after="140"/>
        <w:jc w:val="both"/>
      </w:pPr>
      <w:r>
        <w:rPr/>
        <w:t xml:space="preserve">The work spans both parts of the brief. Part 1 implements GANs from scratch on synthetic 2D data, where learning can be judged from a scatter plot; Part 2 applies GANs to three contrasting domains, retinal OCT scans, CICIDS network flows and QuickDraw sketches. Every experiment is scored on the metric that suits its domain, and the scores are drawn together at the end so the models can be read against one another.</w:t>
      </w:r>
    </w:p>
    <w:p>
      <w:pPr>
        <w:pStyle w:val="Heading1"/>
      </w:pPr>
      <w:r>
        <w:rPr/>
        <w:t xml:space="preserve">2. Experimental setup and shared methodology</w:t>
      </w:r>
    </w:p>
    <w:p>
      <w:pPr>
        <w:spacing w:after="140"/>
        <w:jc w:val="both"/>
      </w:pPr>
      <w:r>
        <w:rPr/>
        <w:t xml:space="preserve">A common recipe underpins every GAN. All models optimise the non-saturating objective through binary cross-entropy on logits with Adam (Kingma and Ba, 2015) using betas of (0.5, 0.999); the reduced first beta damps the oscillation a momentum term of 0.9 tends to induce. One-sided label smoothing, capping the real target at 0.9, stops the discriminator becoming over-confident and starving the generator of gradient (Salimans et al., 2016). Generators use batch normalisation between hidden layers (Ioffe and Szegedy, 2015). Keeping these fixed across Parts 1 and 2 makes the later cross-domain comparison fair.</w:t>
      </w:r>
    </w:p>
    <w:p>
      <w:pPr>
        <w:spacing w:after="140"/>
        <w:jc w:val="both"/>
      </w:pPr>
      <w:r>
        <w:rPr/>
        <w:t xml:space="preserve">The network family is matched to the data. Image data (OCT scans and sketches) uses a deep convolutional GAN (DCGAN), whose strided and transposed convolutions exploit local spatial structure far more efficiently than dense layers (Radford et al., 2016), built in TensorFlow/Keras. Tabular flow data, which has no spatial grid, uses a fully connected GAN in PyTorch. Image quality is scored with the Frechet Inception Distance (FID), comparing InceptionV3 feature statistics of real and generated sets (Heusel et al., 2017; Szegedy et al., 2016), while tabular quality is judged by projections and per-feature alignment gaps. A fixed seed is re-applied before each run for reproducibility.</w:t>
      </w:r>
    </w:p>
    <w:p>
      <w:pPr>
        <w:pStyle w:val="Heading1"/>
      </w:pPr>
      <w:r>
        <w:rPr/>
        <w:t xml:space="preserve">3. Synthetic 2D benchmarks</w:t>
      </w:r>
    </w:p>
    <w:p>
      <w:pPr>
        <w:spacing w:after="140"/>
        <w:jc w:val="both"/>
      </w:pPr>
      <w:r>
        <w:rPr/>
        <w:t xml:space="preserve">Part 1 exercises the shared recipe on synthetic 2D targets with a 16-dimensional latent vector and 64-unit hidden layers. The first benchmark reproduces the tutorial sine-wave GAN: points from y = sin(x) with light noise, a two-layer ReLU generator trained for 5,000 epochs against a LeakyReLU discriminator. The losses settle into a stable balance, ending near D = 1.36 and G = 0.83.</w:t>
      </w:r>
    </w:p>
    <w:p>
      <w:pPr>
        <w:jc w:val="center"/>
        <w:spacing w:before="80"/>
      </w:pPr>
      <w:r>
        <w:drawing>
          <wp:inline distT="0" distB="0" distL="0" distR="0">
            <wp:extent cx="2580685"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2580685" cy="2194560"/>
                    </a:xfrm>
                    <a:prstGeom prst="rect">
                      <a:avLst/>
                    </a:prstGeom>
                  </pic:spPr>
                </pic:pic>
              </a:graphicData>
            </a:graphic>
          </wp:inline>
        </w:drawing>
      </w:r>
    </w:p>
    <w:p>
      <w:pPr>
        <w:jc w:val="center"/>
        <w:spacing w:after="160"/>
        <w:rPr>
          <w:i/>
          <w:sz w:val="18"/>
        </w:rPr>
      </w:pPr>
      <w:r>
        <w:rPr>
          <w:i/>
          <w:sz w:val="18"/>
        </w:rPr>
        <w:t xml:space="preserve">Figure 1. Sine-wave GAN: real (blue) vs generated (orange) points.</w:t>
      </w:r>
    </w:p>
    <w:p>
      <w:pPr>
        <w:spacing w:after="140"/>
        <w:jc w:val="both"/>
      </w:pPr>
      <w:r>
        <w:rPr/>
        <w:t xml:space="preserve">In Figure 1 the generated points track y = sin(x) across the whole domain and thin only slightly at the crests, confirming the training loop works before it is set a harder target.</w:t>
      </w:r>
    </w:p>
    <w:p>
      <w:pPr>
        <w:spacing w:after="140"/>
        <w:jc w:val="both"/>
      </w:pPr>
      <w:r>
        <w:rPr/>
        <w:t xml:space="preserve">The second benchmark is a new distribution, an Archimedean spiral sampled with a square-root radius so points spread evenly, scaled to roughly [-1.3, 1.3]. This thin multi-turn manifold is an awkward target a plain GAN tends to collapse into a blob; after 10,000 epochs the generator recovers both arms and the central curl, with D in the 1.25 to 1.36 band and G in 0.80 to 0.86, held together by the stabilisers, batch normalisation in particular. The third task isolates an architecture change on the same target and budget, moving the activation from ReLU to LeakyReLU(0.2) and the depth from two layers to four, so the effect is attributable to those changes alone.</w:t>
      </w:r>
    </w:p>
    <w:p>
      <w:pPr>
        <w:jc w:val="center"/>
        <w:spacing w:before="80"/>
      </w:pPr>
      <w:r>
        <w:drawing>
          <wp:inline distT="0" distB="0" distL="0" distR="0">
            <wp:extent cx="4206240" cy="13841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4206240" cy="1384189"/>
                    </a:xfrm>
                    <a:prstGeom prst="rect">
                      <a:avLst/>
                    </a:prstGeom>
                  </pic:spPr>
                </pic:pic>
              </a:graphicData>
            </a:graphic>
          </wp:inline>
        </w:drawing>
      </w:r>
    </w:p>
    <w:p>
      <w:pPr>
        <w:jc w:val="center"/>
        <w:spacing w:after="160"/>
        <w:rPr>
          <w:i/>
          <w:sz w:val="18"/>
        </w:rPr>
      </w:pPr>
      <w:r>
        <w:rPr>
          <w:i/>
          <w:sz w:val="18"/>
        </w:rPr>
        <w:t xml:space="preserve">Figure 2. Real spiral (left) vs original ReLU/depth-2 generator (centre) vs modified LeakyReLU/depth-4 generator (right).</w:t>
      </w:r>
    </w:p>
    <w:p>
      <w:pPr>
        <w:spacing w:after="140"/>
        <w:jc w:val="both"/>
      </w:pPr>
      <w:r>
        <w:rPr/>
        <w:t xml:space="preserve">In Figure 2 the original ReLU depth-2 model scatters stray points off the curve and partly fills the empty centre, while the deeper LeakyReLU model draws a tighter, cleaner spiral. The gain shows in the losses: the modified generator runs higher and noisier, climbing towards 1.5 to 1.8 and ending near G = 1.19, where the original stayed flat around 0.82, the signature of a larger generator working harder while remaining stable.</w:t>
      </w:r>
    </w:p>
    <w:p>
      <w:pPr>
        <w:pStyle w:val="Heading1"/>
      </w:pPr>
      <w:r>
        <w:rPr/>
        <w:t xml:space="preserve">4. Applied GANs across three domains</w:t>
      </w:r>
    </w:p>
    <w:p>
      <w:pPr>
        <w:pStyle w:val="Heading2"/>
      </w:pPr>
      <w:r>
        <w:rPr/>
        <w:t xml:space="preserve">4.1 Retinal OCT scans (OCTMNIST)</w:t>
      </w:r>
    </w:p>
    <w:p>
      <w:pPr>
        <w:spacing w:after="140"/>
        <w:jc w:val="both"/>
      </w:pPr>
      <w:r>
        <w:rPr/>
        <w:t xml:space="preserve">OCTMNIST comes from MedMNIST v2 (Yang et al., 2023) and holds 97,477 training scans at 28x28 greyscale, spread unevenly across four classes: choroidal neovascularisation, diabetic macular oedema, drusen and normal. Each scan is a bright curved retinal band over a darker background, spatial structure that motivates the DCGAN. The generator maps a 100-dimensional latent vector through a dense layer and three Conv2DTranspose blocks (batch normalisation and ReLU) to a 32x32 tanh image, about 1.08M parameters, and the discriminator mirrors it with strided Conv2D, LeakyReLU and 0.3 dropout. Training uses Adam (learning rate 2e-4, beta1 = 0.5) on a 30,000-image subset for 60 epochs.</w:t>
      </w:r>
    </w:p>
    <w:p>
      <w:pPr>
        <w:jc w:val="center"/>
        <w:spacing w:before="80"/>
      </w:pPr>
      <w:r>
        <w:drawing>
          <wp:inline distT="0" distB="0" distL="0" distR="0">
            <wp:extent cx="3993931" cy="2194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3993931" cy="2194560"/>
                    </a:xfrm>
                    <a:prstGeom prst="rect">
                      <a:avLst/>
                    </a:prstGeom>
                  </pic:spPr>
                </pic:pic>
              </a:graphicData>
            </a:graphic>
          </wp:inline>
        </w:drawing>
      </w:r>
    </w:p>
    <w:p>
      <w:pPr>
        <w:jc w:val="center"/>
        <w:spacing w:after="160"/>
        <w:rPr>
          <w:i/>
          <w:sz w:val="18"/>
        </w:rPr>
      </w:pPr>
      <w:r>
        <w:rPr>
          <w:i/>
          <w:sz w:val="18"/>
        </w:rPr>
        <w:t xml:space="preserve">Figure 3. Real (left) vs generated (right) OCT scans.</w:t>
      </w:r>
    </w:p>
    <w:p>
      <w:pPr>
        <w:spacing w:after="140"/>
        <w:jc w:val="both"/>
      </w:pPr>
      <w:r>
        <w:rPr/>
        <w:t xml:space="preserve">In Figure 3 the generated scans capture the retinal band and vary across the batch, so there is no mode collapse. Their FID is 66.83, consistent with the visible blur where fine sub-layers and speckle are lost; three factors inflate it beyond the raw quality: only 60 epochs on a subset, the 28 to 32 pixel upscaling, and an ImageNet-trained InceptionV3 that has never seen single-channel medical images.</w:t>
      </w:r>
    </w:p>
    <w:p>
      <w:pPr>
        <w:jc w:val="center"/>
        <w:spacing w:before="80"/>
      </w:pPr>
      <w:r>
        <w:drawing>
          <wp:inline distT="0" distB="0" distL="0" distR="0">
            <wp:extent cx="3855915" cy="2194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3855915" cy="2194560"/>
                    </a:xfrm>
                    <a:prstGeom prst="rect">
                      <a:avLst/>
                    </a:prstGeom>
                  </pic:spPr>
                </pic:pic>
              </a:graphicData>
            </a:graphic>
          </wp:inline>
        </w:drawing>
      </w:r>
    </w:p>
    <w:p>
      <w:pPr>
        <w:jc w:val="center"/>
        <w:spacing w:after="160"/>
        <w:rPr>
          <w:i/>
          <w:sz w:val="18"/>
        </w:rPr>
      </w:pPr>
      <w:r>
        <w:rPr>
          <w:i/>
          <w:sz w:val="18"/>
        </w:rPr>
        <w:t xml:space="preserve">Figure 4. OCTMNIST DCGAN training loss curves.</w:t>
      </w:r>
    </w:p>
    <w:p>
      <w:pPr>
        <w:spacing w:after="140"/>
        <w:jc w:val="both"/>
      </w:pPr>
      <w:r>
        <w:rPr/>
        <w:t xml:space="preserve">Figure 4 shows the discriminator loss staying low, around 0.4 to 0.6, while the generator loss oscillates between 2 and 5 without collapsing, so the discriminator keeps a modest edge but never wins outright and the generator keeps receiving usable gradient.</w:t>
      </w:r>
    </w:p>
    <w:p>
      <w:pPr>
        <w:jc w:val="center"/>
        <w:spacing w:before="80"/>
      </w:pPr>
      <w:r>
        <w:drawing>
          <wp:inline distT="0" distB="0" distL="0" distR="0">
            <wp:extent cx="4206240" cy="9786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4206240" cy="978609"/>
                    </a:xfrm>
                    <a:prstGeom prst="rect">
                      <a:avLst/>
                    </a:prstGeom>
                  </pic:spPr>
                </pic:pic>
              </a:graphicData>
            </a:graphic>
          </wp:inline>
        </w:drawing>
      </w:r>
    </w:p>
    <w:p>
      <w:pPr>
        <w:jc w:val="center"/>
        <w:spacing w:after="160"/>
        <w:rPr>
          <w:i/>
          <w:sz w:val="18"/>
        </w:rPr>
      </w:pPr>
      <w:r>
        <w:rPr>
          <w:i/>
          <w:sz w:val="18"/>
        </w:rPr>
        <w:t xml:space="preserve">Figure 5. OCTMNIST DCGAN samples across epochs (1, 16, 30, 45, 60).</w:t>
      </w:r>
    </w:p>
    <w:p>
      <w:pPr>
        <w:spacing w:after="140"/>
        <w:jc w:val="both"/>
      </w:pPr>
      <w:r>
        <w:rPr/>
        <w:t xml:space="preserve">In Figure 5 the epoch snapshots (1, 16, 30, 45, 60) move from random texture to a recognisable layered band by the middle epochs, after which they mainly sharpen, evidence the generator learns scan structure over time rather than copying one stored image.</w:t>
      </w:r>
    </w:p>
    <w:p>
      <w:pPr>
        <w:spacing w:after="140"/>
        <w:jc w:val="both"/>
      </w:pPr>
      <w:r>
        <w:rPr/>
        <w:t xml:space="preserve">This is the hazard the brief frames as generating 'ducks'. Because the discriminator only answers 'real or fake', never 'is this physiologically valid', a convincing scan is accepted even if it invents a bright band or lesion-like patch no real patient had. A synthetic scan must therefore never be used for diagnosis; its defensible uses are augmentation and teaching, and any model trained on them should be checked against a real-only holdout. To generate a chosen class on demand, a conditional GAN (Mirza and Osindero, 2014) feeds the label into both networks, concatenated with the latent vector for the generator and as an extra image channel for the discriminator, with class oversampling and a slower discriminator learning rate (a two-time-scale update) to stabilise training (Heusel et al., 2017).</w:t>
      </w:r>
    </w:p>
    <w:p>
      <w:pPr>
        <w:jc w:val="center"/>
        <w:spacing w:before="80"/>
      </w:pPr>
      <w:r>
        <w:drawing>
          <wp:inline distT="0" distB="0" distL="0" distR="0">
            <wp:extent cx="3827026" cy="2194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3827026" cy="2194560"/>
                    </a:xfrm>
                    <a:prstGeom prst="rect">
                      <a:avLst/>
                    </a:prstGeom>
                  </pic:spPr>
                </pic:pic>
              </a:graphicData>
            </a:graphic>
          </wp:inline>
        </w:drawing>
      </w:r>
    </w:p>
    <w:p>
      <w:pPr>
        <w:jc w:val="center"/>
        <w:spacing w:after="160"/>
        <w:rPr>
          <w:i/>
          <w:sz w:val="18"/>
        </w:rPr>
      </w:pPr>
      <w:r>
        <w:rPr>
          <w:i/>
          <w:sz w:val="18"/>
        </w:rPr>
        <w:t xml:space="preserve">Figure 6. Conditional GAN output, one diagnostic class per row.</w:t>
      </w:r>
    </w:p>
    <w:p>
      <w:pPr>
        <w:spacing w:after="140"/>
        <w:jc w:val="both"/>
      </w:pPr>
      <w:r>
        <w:rPr/>
        <w:t xml:space="preserve">In Figure 6 each row is clearly consistent with its class, so the model generates a chosen category on demand; its losses end near D = 0.35 and G = 4.11, similar to the unconditional run.</w:t>
      </w:r>
    </w:p>
    <w:p>
      <w:pPr>
        <w:pStyle w:val="Heading2"/>
      </w:pPr>
      <w:r>
        <w:rPr/>
        <w:t xml:space="preserve">4.2 Network traffic (CICIDS 2017)</w:t>
      </w:r>
    </w:p>
    <w:p>
      <w:pPr>
        <w:spacing w:after="140"/>
        <w:jc w:val="both"/>
      </w:pPr>
      <w:r>
        <w:rPr/>
        <w:t xml:space="preserve">CICIDS2017 (Sharafaldin et al., 2018) is combined from eight day-files. The data are heavily imbalanced: 2,273,097 BENIGN flows dwarf the largest attacks, DoS Hulk (231,073), PortScan (158,930) and DDoS (128,027), while the rarest fall to a handful of rows, including SQL Injection (21) and Heartbleed (11). The main model uses the Wednesday file, 692,703 rows over 78 numeric features, dropping to 691,406 after infinite and missing values are removed; Wednesday holds 439,683 BENIGN and 251,723 attack flows, from which a balanced 20,000 per class (40,000 rows) is standardised with a z-score. With no spatial grid a DCGAN makes little sense, so the model is an MLP GAN emitting the full 78-dimensional vector: three batch-normalised LeakyReLU blocks at 256 units with a linear output (a tanh would clip z-scored features), against a 256-unit LeakyReLU discriminator with 0.3 dropout. Over 60 epochs the discriminator loss falls from 1.3548 to 1.0248 and the generator rises from 0.8257 to 1.3455.</w:t>
      </w:r>
    </w:p>
    <w:p>
      <w:pPr>
        <w:jc w:val="center"/>
        <w:spacing w:before="80"/>
      </w:pPr>
      <w:r>
        <w:drawing>
          <wp:inline distT="0" distB="0" distL="0" distR="0">
            <wp:extent cx="2488510" cy="2194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2488510" cy="2194560"/>
                    </a:xfrm>
                    <a:prstGeom prst="rect">
                      <a:avLst/>
                    </a:prstGeom>
                  </pic:spPr>
                </pic:pic>
              </a:graphicData>
            </a:graphic>
          </wp:inline>
        </w:drawing>
      </w:r>
    </w:p>
    <w:p>
      <w:pPr>
        <w:jc w:val="center"/>
        <w:spacing w:after="160"/>
        <w:rPr>
          <w:i/>
          <w:sz w:val="18"/>
        </w:rPr>
      </w:pPr>
      <w:r>
        <w:rPr>
          <w:i/>
          <w:sz w:val="18"/>
        </w:rPr>
        <w:t xml:space="preserve">Figure 7. PCA of real (blue) vs generated (red) flow vectors.</w:t>
      </w:r>
    </w:p>
    <w:p>
      <w:pPr>
        <w:spacing w:after="140"/>
        <w:jc w:val="both"/>
      </w:pPr>
      <w:r>
        <w:rPr/>
        <w:t xml:space="preserve">In the PCA projection of Figure 7 (Jolliffe, 2002), and equally in t-SNE (van der Maaten and Hinton, 2008), the generated cloud sits on the main body of the real points but is more concentrated, capturing where most traffic lives without reaching the tails. The numbers agree: the mean absolute error on feature means is a healthy 0.0723 in standardised units, while on standard deviations it is a weaker 0.3179, so averages are matched far more closely than spread. The worst-aligned columns are timing and flag features, and for near-binary flags the generated standard deviation almost vanishes (URG Flag Count 0.030, Fwd PSH Flags 0.024 against real values near 1.0), a partial mode collapse on the discrete features.</w:t>
      </w:r>
    </w:p>
    <w:p>
      <w:pPr>
        <w:jc w:val="center"/>
        <w:spacing w:before="80"/>
      </w:pPr>
      <w:r>
        <w:drawing>
          <wp:inline distT="0" distB="0" distL="0" distR="0">
            <wp:extent cx="2507473" cy="2194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2507473" cy="2194560"/>
                    </a:xfrm>
                    <a:prstGeom prst="rect">
                      <a:avLst/>
                    </a:prstGeom>
                  </pic:spPr>
                </pic:pic>
              </a:graphicData>
            </a:graphic>
          </wp:inline>
        </w:drawing>
      </w:r>
    </w:p>
    <w:p>
      <w:pPr>
        <w:jc w:val="center"/>
        <w:spacing w:after="160"/>
        <w:rPr>
          <w:i/>
          <w:sz w:val="18"/>
        </w:rPr>
      </w:pPr>
      <w:r>
        <w:rPr>
          <w:i/>
          <w:sz w:val="18"/>
        </w:rPr>
        <w:t xml:space="preserve">Figure 8. t-SNE of real (blue) vs generated (red) flow vectors.</w:t>
      </w:r>
    </w:p>
    <w:p>
      <w:pPr>
        <w:spacing w:after="140"/>
        <w:jc w:val="both"/>
      </w:pPr>
      <w:r>
        <w:rPr/>
        <w:t xml:space="preserve">Figure 8 makes this clearer: t-SNE separates the local clusters PCA blurs together, and the generated points still land on the main real clusters while packing more tightly. The duck test bites harder here, because a generated flow only has to look like plausible traffic, not reproduce a real attack's timing, packet structure and flag sequences; with no visual check for 78 numbers the burden falls on quantitative checks, and the flag collapse shows those can look healthy while hiding a failure. The Wednesday file holds DoS variants, whereas genuine DDoS sits in the Friday file used next.</w:t>
      </w:r>
    </w:p>
    <w:p>
      <w:pPr>
        <w:jc w:val="center"/>
        <w:spacing w:before="80"/>
      </w:pPr>
      <w:r>
        <w:drawing>
          <wp:inline distT="0" distB="0" distL="0" distR="0">
            <wp:extent cx="4206240" cy="19220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Img9"/>
                    <a:stretch>
                      <a:fillRect/>
                    </a:stretch>
                  </pic:blipFill>
                  <pic:spPr>
                    <a:xfrm>
                      <a:off x="0" y="0"/>
                      <a:ext cx="4206240" cy="1922013"/>
                    </a:xfrm>
                    <a:prstGeom prst="rect">
                      <a:avLst/>
                    </a:prstGeom>
                  </pic:spPr>
                </pic:pic>
              </a:graphicData>
            </a:graphic>
          </wp:inline>
        </w:drawing>
      </w:r>
    </w:p>
    <w:p>
      <w:pPr>
        <w:jc w:val="center"/>
        <w:spacing w:after="160"/>
        <w:rPr>
          <w:i/>
          <w:sz w:val="18"/>
        </w:rPr>
      </w:pPr>
      <w:r>
        <w:rPr>
          <w:i/>
          <w:sz w:val="18"/>
        </w:rPr>
        <w:t xml:space="preserve">Figure 9. All-days PCA coloured by attack type (left) and real-vs-generated (right).</w:t>
      </w:r>
    </w:p>
    <w:p>
      <w:pPr>
        <w:spacing w:after="140"/>
        <w:jc w:val="both"/>
      </w:pPr>
      <w:r>
        <w:rPr/>
        <w:t xml:space="preserve">Combining all eight days with per-file capping gives 125,310 rows across every attack family (Figure 9). The generator covers the dense centre well, including BENIGN, DoS Hulk and true DDoS, but under-represents the smaller clusters, and this diversity made alignment worse: the mean error on means rose from 0.0723 to 0.1141 and on standard deviations from 0.3179 to 0.3544. Asking one unconditional generator to cover many modes cost more than the extra data returned, so a class-conditional GAN or one model per family is the clear next step.</w:t>
      </w:r>
    </w:p>
    <w:p>
      <w:pPr>
        <w:pStyle w:val="Heading2"/>
      </w:pPr>
      <w:r>
        <w:rPr/>
        <w:t xml:space="preserve">4.3 Creative sketches (QuickDraw)</w:t>
      </w:r>
    </w:p>
    <w:p>
      <w:pPr>
        <w:spacing w:after="140"/>
        <w:jc w:val="both"/>
      </w:pPr>
      <w:r>
        <w:rPr/>
        <w:t xml:space="preserve">QuickDraw (Ha and Eck, 2018; Google Creative Lab) supplies 28x28 greyscale doodles as high-contrast line art on black. The birthday-cake category holds 144,982 sketches, usually a cake body, candles and often a plate line. A doodle is again local spatial structure, so the OCT DCGAN builders apply directly, reused across a very different domain as a useful check; the one change is a larger 128-dimensional latent vector for the greater variety of shapes. Training uses Adam at 2e-4 on 30,000 images for 50 epochs.</w:t>
      </w:r>
    </w:p>
    <w:p>
      <w:pPr>
        <w:jc w:val="center"/>
        <w:spacing w:before="80"/>
      </w:pPr>
      <w:r>
        <w:drawing>
          <wp:inline distT="0" distB="0" distL="0" distR="0">
            <wp:extent cx="3900816" cy="2194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Img10"/>
                    <a:stretch>
                      <a:fillRect/>
                    </a:stretch>
                  </pic:blipFill>
                  <pic:spPr>
                    <a:xfrm>
                      <a:off x="0" y="0"/>
                      <a:ext cx="3900816" cy="2194560"/>
                    </a:xfrm>
                    <a:prstGeom prst="rect">
                      <a:avLst/>
                    </a:prstGeom>
                  </pic:spPr>
                </pic:pic>
              </a:graphicData>
            </a:graphic>
          </wp:inline>
        </w:drawing>
      </w:r>
    </w:p>
    <w:p>
      <w:pPr>
        <w:jc w:val="center"/>
        <w:spacing w:after="160"/>
        <w:rPr>
          <w:i/>
          <w:sz w:val="18"/>
        </w:rPr>
      </w:pPr>
      <w:r>
        <w:rPr>
          <w:i/>
          <w:sz w:val="18"/>
        </w:rPr>
        <w:t xml:space="preserve">Figure 10. QuickDraw DCGAN training loss curves.</w:t>
      </w:r>
    </w:p>
    <w:p>
      <w:pPr>
        <w:spacing w:after="140"/>
        <w:jc w:val="both"/>
      </w:pPr>
      <w:r>
        <w:rPr/>
        <w:t xml:space="preserve">Figure 10 shows the discriminator loss staying low, around 0.34 to 0.9, while the generator loss swings through 1.3 to 6.1 as the two trade advantage; with no runaway spike and no flat-lined trace, training is stable across all 50 epochs.</w:t>
      </w:r>
    </w:p>
    <w:p>
      <w:pPr>
        <w:jc w:val="center"/>
        <w:spacing w:before="80"/>
      </w:pPr>
      <w:r>
        <w:drawing>
          <wp:inline distT="0" distB="0" distL="0" distR="0">
            <wp:extent cx="3993931" cy="21945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Img11"/>
                    <a:stretch>
                      <a:fillRect/>
                    </a:stretch>
                  </pic:blipFill>
                  <pic:spPr>
                    <a:xfrm>
                      <a:off x="0" y="0"/>
                      <a:ext cx="3993931" cy="2194560"/>
                    </a:xfrm>
                    <a:prstGeom prst="rect">
                      <a:avLst/>
                    </a:prstGeom>
                  </pic:spPr>
                </pic:pic>
              </a:graphicData>
            </a:graphic>
          </wp:inline>
        </w:drawing>
      </w:r>
    </w:p>
    <w:p>
      <w:pPr>
        <w:jc w:val="center"/>
        <w:spacing w:after="160"/>
        <w:rPr>
          <w:i/>
          <w:sz w:val="18"/>
        </w:rPr>
      </w:pPr>
      <w:r>
        <w:rPr>
          <w:i/>
          <w:sz w:val="18"/>
        </w:rPr>
        <w:t xml:space="preserve">Figure 11. Real (left) vs generated (right) birthday-cake sketches.</w:t>
      </w:r>
    </w:p>
    <w:p>
      <w:pPr>
        <w:spacing w:after="140"/>
        <w:jc w:val="both"/>
      </w:pPr>
      <w:r>
        <w:rPr/>
        <w:t xml:space="preserve">In Figure 11 the final cakes are easy to read and vary across the grid, so there is no mode collapse; the flaws are the usual line-art ones, broken or doubled strokes and a little speckle. The FID is 32.59, well below the OCT scans' 66.83, which fits the intuition that clean line art sits more comfortably in InceptionV3's feature space than soft medical texture.</w:t>
      </w:r>
    </w:p>
    <w:p>
      <w:pPr>
        <w:jc w:val="center"/>
        <w:spacing w:before="80"/>
      </w:pPr>
      <w:r>
        <w:drawing>
          <wp:inline distT="0" distB="0" distL="0" distR="0">
            <wp:extent cx="4206240" cy="9786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Img12"/>
                    <a:stretch>
                      <a:fillRect/>
                    </a:stretch>
                  </pic:blipFill>
                  <pic:spPr>
                    <a:xfrm>
                      <a:off x="0" y="0"/>
                      <a:ext cx="4206240" cy="978609"/>
                    </a:xfrm>
                    <a:prstGeom prst="rect">
                      <a:avLst/>
                    </a:prstGeom>
                  </pic:spPr>
                </pic:pic>
              </a:graphicData>
            </a:graphic>
          </wp:inline>
        </w:drawing>
      </w:r>
    </w:p>
    <w:p>
      <w:pPr>
        <w:jc w:val="center"/>
        <w:spacing w:after="160"/>
        <w:rPr>
          <w:i/>
          <w:sz w:val="18"/>
        </w:rPr>
      </w:pPr>
      <w:r>
        <w:rPr>
          <w:i/>
          <w:sz w:val="18"/>
        </w:rPr>
        <w:t xml:space="preserve">Figure 12. Generated cake samples across epochs (1, 13, 26, 38, 50).</w:t>
      </w:r>
    </w:p>
    <w:p>
      <w:pPr>
        <w:spacing w:after="140"/>
        <w:jc w:val="both"/>
      </w:pPr>
      <w:r>
        <w:rPr/>
        <w:t xml:space="preserve">In Figure 12 the progression across epochs (1, 13, 26, 38, 50) shows the outline and candles appearing early and then sharpening, evidence the generator is learning cake structure and not memorising a fixed example.</w:t>
      </w:r>
    </w:p>
    <w:p>
      <w:pPr>
        <w:jc w:val="center"/>
        <w:spacing w:before="80"/>
      </w:pPr>
      <w:r>
        <w:drawing>
          <wp:inline distT="0" distB="0" distL="0" distR="0">
            <wp:extent cx="4206240" cy="1821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Img13"/>
                    <a:stretch>
                      <a:fillRect/>
                    </a:stretch>
                  </pic:blipFill>
                  <pic:spPr>
                    <a:xfrm>
                      <a:off x="0" y="0"/>
                      <a:ext cx="4206240" cy="1821125"/>
                    </a:xfrm>
                    <a:prstGeom prst="rect">
                      <a:avLst/>
                    </a:prstGeom>
                  </pic:spPr>
                </pic:pic>
              </a:graphicData>
            </a:graphic>
          </wp:inline>
        </w:drawing>
      </w:r>
    </w:p>
    <w:p>
      <w:pPr>
        <w:jc w:val="center"/>
        <w:spacing w:after="160"/>
        <w:rPr>
          <w:i/>
          <w:sz w:val="18"/>
        </w:rPr>
      </w:pPr>
      <w:r>
        <w:rPr>
          <w:i/>
          <w:sz w:val="18"/>
        </w:rPr>
        <w:t xml:space="preserve">Figure 13. FID by category (left) vs mean ink density (right).</w:t>
      </w:r>
    </w:p>
    <w:p>
      <w:pPr>
        <w:spacing w:after="140"/>
        <w:jc w:val="both"/>
      </w:pPr>
      <w:r>
        <w:rPr/>
        <w:t xml:space="preserve">Training the same DCGAN on cat and house weighs FID against a cheap complexity proxy, mean ink density (Figure 13). The orderings differ: by FID it is house (24.75), cake (32.59), cat (41.09), while by ink density it is house (0.2368), cat (0.2655), cake (0.2708). House is easiest on both, yet cake beats cat despite the highest ink density, so ink coverage alone does not predict difficulty; a house is close to a fixed template, cats vary most in pose and outline, and cakes sit between, so structural variety drives difficulty more than ink coverage.</w:t>
      </w:r>
    </w:p>
    <w:p>
      <w:pPr>
        <w:pStyle w:val="Heading1"/>
      </w:pPr>
      <w:r>
        <w:rPr/>
        <w:t xml:space="preserve">5. Consolidated results and cross-domain comparison</w:t>
      </w:r>
    </w:p>
    <w:p>
      <w:pPr>
        <w:spacing w:after="140"/>
        <w:jc w:val="both"/>
      </w:pPr>
      <w:r>
        <w:rPr/>
        <w:t xml:space="preserve">Table 1 draws the four experiments together, scoring each GAN on the yardstick that suits its domain.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1780" w:type="dxa"/>
          </w:tcPr>
          <w:p>
            <w:pPr>
              <w:spacing w:after="0"/>
            </w:pPr>
            <w:r>
              <w:rPr>
                <w:b/>
                <w:sz w:val="18"/>
              </w:rPr>
              <w:t xml:space="preserve">Part</w:t>
            </w:r>
          </w:p>
        </w:tc>
        <w:tc>
          <w:tcPr>
            <w:tcW w:w="1780" w:type="dxa"/>
          </w:tcPr>
          <w:p>
            <w:pPr>
              <w:spacing w:after="0"/>
            </w:pPr>
            <w:r>
              <w:rPr>
                <w:b/>
                <w:sz w:val="18"/>
              </w:rPr>
              <w:t xml:space="preserve">Model</w:t>
            </w:r>
          </w:p>
        </w:tc>
        <w:tc>
          <w:tcPr>
            <w:tcW w:w="1780" w:type="dxa"/>
          </w:tcPr>
          <w:p>
            <w:pPr>
              <w:spacing w:after="0"/>
            </w:pPr>
            <w:r>
              <w:rPr>
                <w:b/>
                <w:sz w:val="18"/>
              </w:rPr>
              <w:t xml:space="preserve">Data</w:t>
            </w:r>
          </w:p>
        </w:tc>
        <w:tc>
          <w:tcPr>
            <w:tcW w:w="1780" w:type="dxa"/>
          </w:tcPr>
          <w:p>
            <w:pPr>
              <w:spacing w:after="0"/>
            </w:pPr>
            <w:r>
              <w:rPr>
                <w:b/>
                <w:sz w:val="18"/>
              </w:rPr>
              <w:t xml:space="preserve">Metric</w:t>
            </w:r>
          </w:p>
        </w:tc>
        <w:tc>
          <w:tcPr>
            <w:tcW w:w="1780" w:type="dxa"/>
          </w:tcPr>
          <w:p>
            <w:pPr>
              <w:spacing w:after="0"/>
            </w:pPr>
            <w:r>
              <w:rPr>
                <w:b/>
                <w:sz w:val="18"/>
              </w:rPr>
              <w:t xml:space="preserve">Value</w:t>
            </w:r>
          </w:p>
        </w:tc>
      </w:tr>
      <w:tr>
        <w:tc>
          <w:tcPr>
            <w:tcW w:w="1780" w:type="dxa"/>
          </w:tcPr>
          <w:p>
            <w:pPr>
              <w:spacing w:after="0"/>
            </w:pPr>
            <w:r>
              <w:rPr>
                <w:sz w:val="18"/>
              </w:rPr>
              <w:t xml:space="preserve">2.1</w:t>
            </w:r>
          </w:p>
        </w:tc>
        <w:tc>
          <w:tcPr>
            <w:tcW w:w="1780" w:type="dxa"/>
          </w:tcPr>
          <w:p>
            <w:pPr>
              <w:spacing w:after="0"/>
            </w:pPr>
            <w:r>
              <w:rPr>
                <w:sz w:val="18"/>
              </w:rPr>
              <w:t xml:space="preserve">DCGAN</w:t>
            </w:r>
          </w:p>
        </w:tc>
        <w:tc>
          <w:tcPr>
            <w:tcW w:w="1780" w:type="dxa"/>
          </w:tcPr>
          <w:p>
            <w:pPr>
              <w:spacing w:after="0"/>
            </w:pPr>
            <w:r>
              <w:rPr>
                <w:sz w:val="18"/>
              </w:rPr>
              <w:t xml:space="preserve">OCTMNIST scans</w:t>
            </w:r>
          </w:p>
        </w:tc>
        <w:tc>
          <w:tcPr>
            <w:tcW w:w="1780" w:type="dxa"/>
          </w:tcPr>
          <w:p>
            <w:pPr>
              <w:spacing w:after="0"/>
            </w:pPr>
            <w:r>
              <w:rPr>
                <w:sz w:val="18"/>
              </w:rPr>
              <w:t xml:space="preserve">FID (lower = better)</w:t>
            </w:r>
          </w:p>
        </w:tc>
        <w:tc>
          <w:tcPr>
            <w:tcW w:w="1780" w:type="dxa"/>
          </w:tcPr>
          <w:p>
            <w:pPr>
              <w:spacing w:after="0"/>
            </w:pPr>
            <w:r>
              <w:rPr>
                <w:sz w:val="18"/>
              </w:rPr>
              <w:t xml:space="preserve">66.83</w:t>
            </w:r>
          </w:p>
        </w:tc>
      </w:tr>
      <w:tr>
        <w:tc>
          <w:tcPr>
            <w:tcW w:w="1780" w:type="dxa"/>
          </w:tcPr>
          <w:p>
            <w:pPr>
              <w:spacing w:after="0"/>
            </w:pPr>
            <w:r>
              <w:rPr>
                <w:sz w:val="18"/>
              </w:rPr>
              <w:t xml:space="preserve">2.1 (ext.)</w:t>
            </w:r>
          </w:p>
        </w:tc>
        <w:tc>
          <w:tcPr>
            <w:tcW w:w="1780" w:type="dxa"/>
          </w:tcPr>
          <w:p>
            <w:pPr>
              <w:spacing w:after="0"/>
            </w:pPr>
            <w:r>
              <w:rPr>
                <w:sz w:val="18"/>
              </w:rPr>
              <w:t xml:space="preserve">Conditional DCGAN</w:t>
            </w:r>
          </w:p>
        </w:tc>
        <w:tc>
          <w:tcPr>
            <w:tcW w:w="1780" w:type="dxa"/>
          </w:tcPr>
          <w:p>
            <w:pPr>
              <w:spacing w:after="0"/>
            </w:pPr>
            <w:r>
              <w:rPr>
                <w:sz w:val="18"/>
              </w:rPr>
              <w:t xml:space="preserve">OCTMNIST scans</w:t>
            </w:r>
          </w:p>
        </w:tc>
        <w:tc>
          <w:tcPr>
            <w:tcW w:w="1780" w:type="dxa"/>
          </w:tcPr>
          <w:p>
            <w:pPr>
              <w:spacing w:after="0"/>
            </w:pPr>
            <w:r>
              <w:rPr>
                <w:sz w:val="18"/>
              </w:rPr>
              <w:t xml:space="preserve">final losses D / G</w:t>
            </w:r>
          </w:p>
        </w:tc>
        <w:tc>
          <w:tcPr>
            <w:tcW w:w="1780" w:type="dxa"/>
          </w:tcPr>
          <w:p>
            <w:pPr>
              <w:spacing w:after="0"/>
            </w:pPr>
            <w:r>
              <w:rPr>
                <w:sz w:val="18"/>
              </w:rPr>
              <w:t xml:space="preserve">0.35 / 4.11</w:t>
            </w:r>
          </w:p>
        </w:tc>
      </w:tr>
      <w:tr>
        <w:tc>
          <w:tcPr>
            <w:tcW w:w="1780" w:type="dxa"/>
          </w:tcPr>
          <w:p>
            <w:pPr>
              <w:spacing w:after="0"/>
            </w:pPr>
            <w:r>
              <w:rPr>
                <w:sz w:val="18"/>
              </w:rPr>
              <w:t xml:space="preserve">2.3</w:t>
            </w:r>
          </w:p>
        </w:tc>
        <w:tc>
          <w:tcPr>
            <w:tcW w:w="1780" w:type="dxa"/>
          </w:tcPr>
          <w:p>
            <w:pPr>
              <w:spacing w:after="0"/>
            </w:pPr>
            <w:r>
              <w:rPr>
                <w:sz w:val="18"/>
              </w:rPr>
              <w:t xml:space="preserve">DCGAN</w:t>
            </w:r>
          </w:p>
        </w:tc>
        <w:tc>
          <w:tcPr>
            <w:tcW w:w="1780" w:type="dxa"/>
          </w:tcPr>
          <w:p>
            <w:pPr>
              <w:spacing w:after="0"/>
            </w:pPr>
            <w:r>
              <w:rPr>
                <w:sz w:val="18"/>
              </w:rPr>
              <w:t xml:space="preserve">QuickDraw birthday cake</w:t>
            </w:r>
          </w:p>
        </w:tc>
        <w:tc>
          <w:tcPr>
            <w:tcW w:w="1780" w:type="dxa"/>
          </w:tcPr>
          <w:p>
            <w:pPr>
              <w:spacing w:after="0"/>
            </w:pPr>
            <w:r>
              <w:rPr>
                <w:sz w:val="18"/>
              </w:rPr>
              <w:t xml:space="preserve">FID</w:t>
            </w:r>
          </w:p>
        </w:tc>
        <w:tc>
          <w:tcPr>
            <w:tcW w:w="1780" w:type="dxa"/>
          </w:tcPr>
          <w:p>
            <w:pPr>
              <w:spacing w:after="0"/>
            </w:pPr>
            <w:r>
              <w:rPr>
                <w:sz w:val="18"/>
              </w:rPr>
              <w:t xml:space="preserve">32.59</w:t>
            </w:r>
          </w:p>
        </w:tc>
      </w:tr>
      <w:tr>
        <w:tc>
          <w:tcPr>
            <w:tcW w:w="1780" w:type="dxa"/>
          </w:tcPr>
          <w:p>
            <w:pPr>
              <w:spacing w:after="0"/>
            </w:pPr>
            <w:r>
              <w:rPr>
                <w:sz w:val="18"/>
              </w:rPr>
              <w:t xml:space="preserve">2.3 (ext.)</w:t>
            </w:r>
          </w:p>
        </w:tc>
        <w:tc>
          <w:tcPr>
            <w:tcW w:w="1780" w:type="dxa"/>
          </w:tcPr>
          <w:p>
            <w:pPr>
              <w:spacing w:after="0"/>
            </w:pPr>
            <w:r>
              <w:rPr>
                <w:sz w:val="18"/>
              </w:rPr>
              <w:t xml:space="preserve">DCGAN</w:t>
            </w:r>
          </w:p>
        </w:tc>
        <w:tc>
          <w:tcPr>
            <w:tcW w:w="1780" w:type="dxa"/>
          </w:tcPr>
          <w:p>
            <w:pPr>
              <w:spacing w:after="0"/>
            </w:pPr>
            <w:r>
              <w:rPr>
                <w:sz w:val="18"/>
              </w:rPr>
              <w:t xml:space="preserve">QuickDraw cat</w:t>
            </w:r>
          </w:p>
        </w:tc>
        <w:tc>
          <w:tcPr>
            <w:tcW w:w="1780" w:type="dxa"/>
          </w:tcPr>
          <w:p>
            <w:pPr>
              <w:spacing w:after="0"/>
            </w:pPr>
            <w:r>
              <w:rPr>
                <w:sz w:val="18"/>
              </w:rPr>
              <w:t xml:space="preserve">FID</w:t>
            </w:r>
          </w:p>
        </w:tc>
        <w:tc>
          <w:tcPr>
            <w:tcW w:w="1780" w:type="dxa"/>
          </w:tcPr>
          <w:p>
            <w:pPr>
              <w:spacing w:after="0"/>
            </w:pPr>
            <w:r>
              <w:rPr>
                <w:sz w:val="18"/>
              </w:rPr>
              <w:t xml:space="preserve">41.09</w:t>
            </w:r>
          </w:p>
        </w:tc>
      </w:tr>
      <w:tr>
        <w:tc>
          <w:tcPr>
            <w:tcW w:w="1780" w:type="dxa"/>
          </w:tcPr>
          <w:p>
            <w:pPr>
              <w:spacing w:after="0"/>
            </w:pPr>
            <w:r>
              <w:rPr>
                <w:sz w:val="18"/>
              </w:rPr>
              <w:t xml:space="preserve">2.3 (ext.)</w:t>
            </w:r>
          </w:p>
        </w:tc>
        <w:tc>
          <w:tcPr>
            <w:tcW w:w="1780" w:type="dxa"/>
          </w:tcPr>
          <w:p>
            <w:pPr>
              <w:spacing w:after="0"/>
            </w:pPr>
            <w:r>
              <w:rPr>
                <w:sz w:val="18"/>
              </w:rPr>
              <w:t xml:space="preserve">DCGAN</w:t>
            </w:r>
          </w:p>
        </w:tc>
        <w:tc>
          <w:tcPr>
            <w:tcW w:w="1780" w:type="dxa"/>
          </w:tcPr>
          <w:p>
            <w:pPr>
              <w:spacing w:after="0"/>
            </w:pPr>
            <w:r>
              <w:rPr>
                <w:sz w:val="18"/>
              </w:rPr>
              <w:t xml:space="preserve">QuickDraw house</w:t>
            </w:r>
          </w:p>
        </w:tc>
        <w:tc>
          <w:tcPr>
            <w:tcW w:w="1780" w:type="dxa"/>
          </w:tcPr>
          <w:p>
            <w:pPr>
              <w:spacing w:after="0"/>
            </w:pPr>
            <w:r>
              <w:rPr>
                <w:sz w:val="18"/>
              </w:rPr>
              <w:t xml:space="preserve">FID</w:t>
            </w:r>
          </w:p>
        </w:tc>
        <w:tc>
          <w:tcPr>
            <w:tcW w:w="1780" w:type="dxa"/>
          </w:tcPr>
          <w:p>
            <w:pPr>
              <w:spacing w:after="0"/>
            </w:pPr>
            <w:r>
              <w:rPr>
                <w:sz w:val="18"/>
              </w:rPr>
              <w:t xml:space="preserve">24.75</w:t>
            </w:r>
          </w:p>
        </w:tc>
      </w:tr>
      <w:tr>
        <w:tc>
          <w:tcPr>
            <w:tcW w:w="1780" w:type="dxa"/>
          </w:tcPr>
          <w:p>
            <w:pPr>
              <w:spacing w:after="0"/>
            </w:pPr>
            <w:r>
              <w:rPr>
                <w:sz w:val="18"/>
              </w:rPr>
              <w:t xml:space="preserve">2.2</w:t>
            </w:r>
          </w:p>
        </w:tc>
        <w:tc>
          <w:tcPr>
            <w:tcW w:w="1780" w:type="dxa"/>
          </w:tcPr>
          <w:p>
            <w:pPr>
              <w:spacing w:after="0"/>
            </w:pPr>
            <w:r>
              <w:rPr>
                <w:sz w:val="18"/>
              </w:rPr>
              <w:t xml:space="preserve">MLP GAN</w:t>
            </w:r>
          </w:p>
        </w:tc>
        <w:tc>
          <w:tcPr>
            <w:tcW w:w="1780" w:type="dxa"/>
          </w:tcPr>
          <w:p>
            <w:pPr>
              <w:spacing w:after="0"/>
            </w:pPr>
            <w:r>
              <w:rPr>
                <w:sz w:val="18"/>
              </w:rPr>
              <w:t xml:space="preserve">CICIDS Wednesday (DoS)</w:t>
            </w:r>
          </w:p>
        </w:tc>
        <w:tc>
          <w:tcPr>
            <w:tcW w:w="1780" w:type="dxa"/>
          </w:tcPr>
          <w:p>
            <w:pPr>
              <w:spacing w:after="0"/>
            </w:pPr>
            <w:r>
              <w:rPr>
                <w:sz w:val="18"/>
              </w:rPr>
              <w:t xml:space="preserve">mean-gap / std-gap</w:t>
            </w:r>
          </w:p>
        </w:tc>
        <w:tc>
          <w:tcPr>
            <w:tcW w:w="1780" w:type="dxa"/>
          </w:tcPr>
          <w:p>
            <w:pPr>
              <w:spacing w:after="0"/>
            </w:pPr>
            <w:r>
              <w:rPr>
                <w:sz w:val="18"/>
              </w:rPr>
              <w:t xml:space="preserve">0.0723 / 0.3179</w:t>
            </w:r>
          </w:p>
        </w:tc>
      </w:tr>
      <w:tr>
        <w:tc>
          <w:tcPr>
            <w:tcW w:w="1780" w:type="dxa"/>
          </w:tcPr>
          <w:p>
            <w:pPr>
              <w:spacing w:after="0"/>
            </w:pPr>
            <w:r>
              <w:rPr>
                <w:sz w:val="18"/>
              </w:rPr>
              <w:t xml:space="preserve">2.2 (ext.)</w:t>
            </w:r>
          </w:p>
        </w:tc>
        <w:tc>
          <w:tcPr>
            <w:tcW w:w="1780" w:type="dxa"/>
          </w:tcPr>
          <w:p>
            <w:pPr>
              <w:spacing w:after="0"/>
            </w:pPr>
            <w:r>
              <w:rPr>
                <w:sz w:val="18"/>
              </w:rPr>
              <w:t xml:space="preserve">MLP GAN</w:t>
            </w:r>
          </w:p>
        </w:tc>
        <w:tc>
          <w:tcPr>
            <w:tcW w:w="1780" w:type="dxa"/>
          </w:tcPr>
          <w:p>
            <w:pPr>
              <w:spacing w:after="0"/>
            </w:pPr>
            <w:r>
              <w:rPr>
                <w:sz w:val="18"/>
              </w:rPr>
              <w:t xml:space="preserve">CICIDS all days</w:t>
            </w:r>
          </w:p>
        </w:tc>
        <w:tc>
          <w:tcPr>
            <w:tcW w:w="1780" w:type="dxa"/>
          </w:tcPr>
          <w:p>
            <w:pPr>
              <w:spacing w:after="0"/>
            </w:pPr>
            <w:r>
              <w:rPr>
                <w:sz w:val="18"/>
              </w:rPr>
              <w:t xml:space="preserve">mean-gap / std-gap</w:t>
            </w:r>
          </w:p>
        </w:tc>
        <w:tc>
          <w:tcPr>
            <w:tcW w:w="1780" w:type="dxa"/>
          </w:tcPr>
          <w:p>
            <w:pPr>
              <w:spacing w:after="0"/>
            </w:pPr>
            <w:r>
              <w:rPr>
                <w:sz w:val="18"/>
              </w:rPr>
              <w:t xml:space="preserve">0.1141 / 0.3544</w:t>
            </w:r>
          </w:p>
        </w:tc>
      </w:tr>
    </w:tbl>
    <w:p>
      <w:pPr>
        <w:jc w:val="center"/>
        <w:spacing w:before="80" w:after="160"/>
        <w:rPr>
          <w:i/>
          <w:sz w:val="18"/>
        </w:rPr>
      </w:pPr>
      <w:r>
        <w:rPr>
          <w:i/>
          <w:sz w:val="18"/>
        </w:rPr>
        <w:t xml:space="preserve">Table 1. Consolidated results across all experiments (metrics as computed in the notebook).</w:t>
      </w:r>
    </w:p>
    <w:p>
      <w:pPr>
        <w:spacing w:after="140"/>
        <w:jc w:val="both"/>
      </w:pPr>
      <w:r>
        <w:rPr/>
        <w:t xml:space="preserve">Read across the table, the image GANs line up with visual quality: the clean QuickDraw sketches beat the soft OCT scans on FID, and the repetitive house is easiest by a wide margin. The tabular GAN, judged on distribution alignment, reverses the usual 'more data helps' intuition, since widening from one day to all eight nearly doubles the mean gap and inflates the variance gap. The conditional OCT model shows class control is achievable at a comparable stability cost.</w:t>
      </w:r>
    </w:p>
    <w:p>
      <w:pPr>
        <w:pStyle w:val="Heading1"/>
      </w:pPr>
      <w:r>
        <w:rPr/>
        <w:t xml:space="preserve">6. Conclusion</w:t>
      </w:r>
    </w:p>
    <w:p>
      <w:pPr>
        <w:spacing w:after="140"/>
        <w:jc w:val="both"/>
      </w:pPr>
      <w:r>
        <w:rPr/>
        <w:t xml:space="preserve">Across the four experiments the pattern is consistent. Once stabilised, the GANs reproduce the dominant structure of a distribution and avoid mode collapse but lose the tails and fine detail: thinning at the sine and spiral peaks, blur in the OCT scans, collapsed variance on the binary flags, and broken sketch strokes. Two results stand out, that the multi-day cybersecurity GAN generalised worse than the single-day model, and that structural variety predicted creative-task difficulty better than ink density. The recurring duck-test hazard means none of this synthetic data should be trusted downstream without validation.</w:t>
      </w:r>
    </w:p>
    <w:p>
      <w:pPr>
        <w:spacing w:after="140"/>
        <w:jc w:val="both"/>
      </w:pPr>
      <w:r>
        <w:rPr/>
        <w:t xml:space="preserve">Several extensions follow from these weaknesses. A Wasserstein objective with gradient penalty would give smoother gradients and better tail coverage; class-conditional models, or one per attack family, would address the multi-attack failure; a CTGAN-style mixed discrete and continuous design would target the flag-feature collapse; and a domain-appropriate FID extractor would make the medical metric more meaningful.</w:t>
      </w:r>
    </w:p>
    <w:p>
      <w:pPr>
        <w:pStyle w:val="Heading1"/>
      </w:pPr>
      <w:r>
        <w:rPr/>
        <w:t xml:space="preserve">7. References</w:t>
      </w:r>
    </w:p>
    <w:p>
      <w:pPr>
        <w:spacing w:after="80"/>
      </w:pPr>
      <w:r>
        <w:rPr>
          <w:sz w:val="20"/>
        </w:rPr>
        <w:t xml:space="preserve">Goodfellow, I., Pouget-Abadie, J., Mirza, M., Xu, B., Warde-Farley, D., Ozair, S., Courville, A. and Bengio, Y. (2014) 'Generative adversarial nets', Advances in Neural Information Processing Systems, 27, pp. 2672-2680.</w:t>
      </w:r>
    </w:p>
    <w:p>
      <w:pPr>
        <w:spacing w:after="80"/>
      </w:pPr>
      <w:r>
        <w:rPr>
          <w:sz w:val="20"/>
        </w:rPr>
        <w:t xml:space="preserve">Ha, D. and Eck, D. (2018) 'A neural representation of sketch drawings', International Conference on Learning Representations (ICLR). (The Quick, Draw! Dataset, Google Creative Lab: https://github.com/googlecreativelab/quickdraw-dataset)</w:t>
      </w:r>
    </w:p>
    <w:p>
      <w:pPr>
        <w:spacing w:after="80"/>
      </w:pPr>
      <w:r>
        <w:rPr>
          <w:sz w:val="20"/>
        </w:rPr>
        <w:t xml:space="preserve">Heusel, M., Ramsauer, H., Unterthiner, T., Nessler, B. and Hochreiter, S. (2017) 'GANs trained by a two time-scale update rule converge to a local Nash equilibrium', Advances in Neural Information Processing Systems, 30, pp. 6626-6637.</w:t>
      </w:r>
    </w:p>
    <w:p>
      <w:pPr>
        <w:spacing w:after="80"/>
      </w:pPr>
      <w:r>
        <w:rPr>
          <w:sz w:val="20"/>
        </w:rPr>
        <w:t xml:space="preserve">Ioffe, S. and Szegedy, C. (2015) 'Batch normalization: accelerating deep network training by reducing internal covariate shift', International Conference on Machine Learning (ICML), pp. 448-456.</w:t>
      </w:r>
    </w:p>
    <w:p>
      <w:pPr>
        <w:spacing w:after="80"/>
      </w:pPr>
      <w:r>
        <w:rPr>
          <w:sz w:val="20"/>
        </w:rPr>
        <w:t xml:space="preserve">Jolliffe, I.T. (2002) Principal Component Analysis. 2nd edn. New York: Springer.</w:t>
      </w:r>
    </w:p>
    <w:p>
      <w:pPr>
        <w:spacing w:after="80"/>
      </w:pPr>
      <w:r>
        <w:rPr>
          <w:sz w:val="20"/>
        </w:rPr>
        <w:t xml:space="preserve">Kingma, D.P. and Ba, J. (2015) 'Adam: a method for stochastic optimization', International Conference on Learning Representations (ICLR).</w:t>
      </w:r>
    </w:p>
    <w:p>
      <w:pPr>
        <w:spacing w:after="80"/>
      </w:pPr>
      <w:r>
        <w:rPr>
          <w:sz w:val="20"/>
        </w:rPr>
        <w:t xml:space="preserve">Mirza, M. and Osindero, S. (2014) 'Conditional generative adversarial nets', arXiv:1411.1784.</w:t>
      </w:r>
    </w:p>
    <w:p>
      <w:pPr>
        <w:spacing w:after="80"/>
      </w:pPr>
      <w:r>
        <w:rPr>
          <w:sz w:val="20"/>
        </w:rPr>
        <w:t xml:space="preserve">Radford, A., Metz, L. and Chintala, S. (2016) 'Unsupervised representation learning with deep convolutional generative adversarial networks', International Conference on Learning Representations (ICLR).</w:t>
      </w:r>
    </w:p>
    <w:p>
      <w:pPr>
        <w:spacing w:after="80"/>
      </w:pPr>
      <w:r>
        <w:rPr>
          <w:sz w:val="20"/>
        </w:rPr>
        <w:t xml:space="preserve">Salimans, T., Goodfellow, I., Zaremba, W., Cheung, V., Radford, A. and Chen, X. (2016) 'Improved techniques for training GANs', Advances in Neural Information Processing Systems, 29, pp. 2234-2242.</w:t>
      </w:r>
    </w:p>
    <w:p>
      <w:pPr>
        <w:spacing w:after="80"/>
      </w:pPr>
      <w:r>
        <w:rPr>
          <w:sz w:val="20"/>
        </w:rPr>
        <w:t xml:space="preserve">Sharafaldin, I., Lashkari, A.H. and Ghorbani, A.A. (2018) 'Toward generating a new intrusion detection dataset and intrusion traffic characterization', Proceedings of the 4th International Conference on Information Systems Security and Privacy (ICISSP), pp. 108-116.</w:t>
      </w:r>
    </w:p>
    <w:p>
      <w:pPr>
        <w:spacing w:after="80"/>
      </w:pPr>
      <w:r>
        <w:rPr>
          <w:sz w:val="20"/>
        </w:rPr>
        <w:t xml:space="preserve">Szegedy, C., Vanhoucke, V., Ioffe, S., Shlens, J. and Wojna, Z. (2016) 'Rethinking the Inception architecture for computer vision', IEEE Conference on Computer Vision and Pattern Recognition (CVPR), pp. 2818-2826.</w:t>
      </w:r>
    </w:p>
    <w:p>
      <w:pPr>
        <w:spacing w:after="80"/>
      </w:pPr>
      <w:r>
        <w:rPr>
          <w:sz w:val="20"/>
        </w:rPr>
        <w:t xml:space="preserve">van der Maaten, L. and Hinton, G. (2008) 'Visualizing data using t-SNE', Journal of Machine Learning Research, 9, pp. 2579-2605.</w:t>
      </w:r>
    </w:p>
    <w:p>
      <w:pPr>
        <w:spacing w:after="80"/>
      </w:pPr>
      <w:r>
        <w:rPr>
          <w:sz w:val="20"/>
        </w:rPr>
        <w:t xml:space="preserve">Yang, J., Shi, R., Wei, D., Liu, Z., Zhao, L., Ke, B., Pfister, H. and Ni, B. (2023) 'MedMNIST v2 - a large-scale lightweight benchmark for 2D and 3D biomedical image classification', Scientific Data, 10(1), 41. (OCTMNIST; https://medmnist.com/)</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Times New Roman" w:hAnsi="Times New Roman"/>
        <w:sz w:val="22"/>
      </w:rPr>
    </w:rPrDefault>
  </w:docDefaults>
  <w:style w:type="paragraph" w:default="1" w:styleId="Normal">
    <w:name w:val="Normal"/>
  </w:style>
  <w:style w:type="paragraph" w:styleId="Title">
    <w:name w:val="Title"/>
    <w:pPr>
      <w:jc w:val="center"/>
      <w:spacing w:before="120" w:after="120"/>
    </w:pPr>
    <w:rPr>
      <w:b/>
      <w:sz w:val="36"/>
    </w:rPr>
  </w:style>
  <w:style w:type="paragraph" w:styleId="Heading1">
    <w:name w:val="heading 1"/>
    <w:pPr>
      <w:spacing w:before="300" w:after="120"/>
      <w:outlineLvl w:val="0"/>
    </w:pPr>
    <w:rPr>
      <w:b/>
      <w:sz w:val="28"/>
    </w:rPr>
  </w:style>
  <w:style w:type="paragraph" w:styleId="Heading2">
    <w:name w:val="heading 2"/>
    <w:pPr>
      <w:spacing w:before="240" w:after="100"/>
      <w:outlineLvl w:val="1"/>
    </w:pPr>
    <w:rPr>
      <w:b/>
      <w:sz w:val="24"/>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s>
</file>