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t xml:space="preserve">Generative Adversarial Networks:</w:t>
      </w:r>
    </w:p>
    <w:p>
      <w:pPr>
        <w:pStyle w:val="Title"/>
      </w:pPr>
      <w:r>
        <w:rPr/>
        <w:t xml:space="preserve">From 2D Toy Data to Real-World Applications</w:t>
      </w:r>
    </w:p>
    <w:p>
      <w:pPr>
        <w:jc w:val="center"/>
      </w:pPr>
      <w:r>
        <w:rPr>
          <w:b/>
        </w:rPr>
        <w:t xml:space="preserve">Student Name:</w:t>
      </w:r>
    </w:p>
    <w:p>
      <w:pPr>
        <w:jc w:val="center"/>
      </w:pPr>
      <w:r>
        <w:rPr>
          <w:b/>
        </w:rPr>
        <w:t xml:space="preserve">Student ID:</w:t>
      </w:r>
    </w:p>
    <w:p>
      <w:pPr>
        <w:jc w:val="center"/>
      </w:pPr>
      <w:r>
        <w:rPr>
          <w:b/>
        </w:rPr>
        <w:t xml:space="preserve">Github Url:</w:t>
      </w:r>
    </w:p>
    <w:p>
      <w:pPr>
        <w:pStyle w:val="Heading1"/>
      </w:pPr>
      <w:r>
        <w:rPr/>
        <w:t xml:space="preserve">1. Introduction</w:t>
      </w:r>
    </w:p>
    <w:p>
      <w:pPr>
        <w:spacing w:after="140"/>
        <w:jc w:val="both"/>
      </w:pPr>
      <w:r>
        <w:rPr/>
        <w:t xml:space="preserve">A generative adversarial network (GAN) trains two networks against each other. A generator turns random noise into samples, and a discriminator tries to separate real data from generated data. As the discriminator sharpens, the generator is pushed towards more convincing samples, and at the ideal equilibrium the discriminator can do no better than guess (Goodfellow et al., 2014). This report applies the idea in two stages. Part 1 builds a GAN from scratch in PyTorch on synthetic 2D data, where learning is visible on a scatter plot. Part 2 then applies GANs to the three areas set by the brief: OCT retinal scans, CICIDS network flows and QuickDraw doodles. Each section explains why the chosen architecture suits the data and interprets what the model produces.</w:t>
      </w:r>
    </w:p>
    <w:p>
      <w:pPr>
        <w:pStyle w:val="Heading1"/>
      </w:pPr>
      <w:r>
        <w:rPr/>
        <w:t xml:space="preserve">2. Part 1: building and understanding GANs from scratch</w:t>
      </w:r>
    </w:p>
    <w:p>
      <w:pPr>
        <w:spacing w:after="140"/>
        <w:jc w:val="both"/>
      </w:pPr>
      <w:r>
        <w:rPr/>
        <w:t xml:space="preserve">All three Part 1 tasks share one training recipe so the comparisons stay controlled: a BatchNorm generator (Ioffe and Szegedy, 2015), Adam (Kingma and Ba, 2015) with betas of (0.5, 0.999), and one-sided label smoothing at a real target of 0.9 (Salimans et al., 2016). The lower beta1 damps oscillation, and the smoothing stops the discriminator becoming over-confident and starving the generator of gradient. The latent dimension is 16 and the hidden layers are 64 units wide.</w:t>
      </w:r>
    </w:p>
    <w:p>
      <w:pPr>
        <w:spacing w:after="140"/>
        <w:jc w:val="both"/>
      </w:pPr>
      <w:r>
        <w:rPr/>
        <w:t xml:space="preserve">The first task reproduces the tutorial sine-wave GAN. Points come from y = sin(x) with a little added noise, and a two-layer ReLU generator trains for 5,000 epochs against a LeakyReLU discriminator. The losses settle into a stable balance, ending near D = 1.36 and G = 0.83.</w:t>
      </w:r>
    </w:p>
    <w:p>
      <w:pPr>
        <w:jc w:val="center"/>
        <w:spacing w:before="80"/>
      </w:pPr>
      <w:r>
        <w:drawing>
          <wp:inline distT="0" distB="0" distL="0" distR="0">
            <wp:extent cx="2580685" cy="2194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2580685" cy="2194560"/>
                    </a:xfrm>
                    <a:prstGeom prst="rect">
                      <a:avLst/>
                    </a:prstGeom>
                  </pic:spPr>
                </pic:pic>
              </a:graphicData>
            </a:graphic>
          </wp:inline>
        </w:drawing>
      </w:r>
    </w:p>
    <w:p>
      <w:pPr>
        <w:jc w:val="center"/>
        <w:spacing w:after="160"/>
        <w:rPr>
          <w:i/>
          <w:sz w:val="18"/>
        </w:rPr>
      </w:pPr>
      <w:r>
        <w:rPr>
          <w:i/>
          <w:sz w:val="18"/>
        </w:rPr>
        <w:t xml:space="preserve">Figure 1. Sine-wave GAN: real (blue) vs generated (orange) points.</w:t>
      </w:r>
    </w:p>
    <w:p>
      <w:pPr>
        <w:spacing w:after="140"/>
        <w:jc w:val="both"/>
      </w:pPr>
      <w:r>
        <w:rPr/>
        <w:t xml:space="preserve">In Figure 1 the generated points follow y = sin(x) across the whole domain and thin only slightly at the crests, confirming the loop works before a harder target.</w:t>
      </w:r>
    </w:p>
    <w:p>
      <w:pPr>
        <w:spacing w:after="140"/>
        <w:jc w:val="both"/>
      </w:pPr>
      <w:r>
        <w:rPr/>
        <w:t xml:space="preserve">For the new 2D distribution I chose an Archimedean spiral, sampled with a square-root radius so points spread evenly and scaled to roughly [-1.3, 1.3]. The spiral is a deliberately awkward target, a thin multi-turn manifold that a plain GAN tends to collapse into a blob. After 10,000 epochs the generator recovers both arms and the central curl, with D in the 1.25 to 1.36 band and G in 0.80 to 0.86. This holds only because of the stabilisers, BatchNorm in particular.</w:t>
      </w:r>
    </w:p>
    <w:p>
      <w:pPr>
        <w:spacing w:after="140"/>
        <w:jc w:val="both"/>
      </w:pPr>
      <w:r>
        <w:rPr/>
        <w:t xml:space="preserve">The third task changes two things and holds the rest fixed: the activation moves from ReLU to LeakyReLU(0.2), and the depth grows from two layers to four. LeakyReLU keeps a gradient for negative inputs, leaving fewer dead units, and the extra depth gives more capacity to bend a thin curve.</w:t>
      </w:r>
    </w:p>
    <w:p>
      <w:pPr>
        <w:jc w:val="center"/>
        <w:spacing w:before="80"/>
      </w:pPr>
      <w:r>
        <w:drawing>
          <wp:inline distT="0" distB="0" distL="0" distR="0">
            <wp:extent cx="4206240" cy="13841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206240" cy="1384189"/>
                    </a:xfrm>
                    <a:prstGeom prst="rect">
                      <a:avLst/>
                    </a:prstGeom>
                  </pic:spPr>
                </pic:pic>
              </a:graphicData>
            </a:graphic>
          </wp:inline>
        </w:drawing>
      </w:r>
    </w:p>
    <w:p>
      <w:pPr>
        <w:jc w:val="center"/>
        <w:spacing w:after="160"/>
        <w:rPr>
          <w:i/>
          <w:sz w:val="18"/>
        </w:rPr>
      </w:pPr>
      <w:r>
        <w:rPr>
          <w:i/>
          <w:sz w:val="18"/>
        </w:rPr>
        <w:t xml:space="preserve">Figure 2. Real spiral (left) vs original ReLU/depth-2 generator (centre) vs modified LeakyReLU/depth-4 generator (right).</w:t>
      </w:r>
    </w:p>
    <w:p>
      <w:pPr>
        <w:spacing w:after="140"/>
        <w:jc w:val="both"/>
      </w:pPr>
      <w:r>
        <w:rPr/>
        <w:t xml:space="preserve">In Figure 2 the original ReLU depth-2 model scatters stray points off the curve and partly fills the empty centre, while the deeper LeakyReLU model draws a tighter, cleaner spiral. The gain shows in the losses: the modified generator runs higher and noisier, climbing towards 1.5 to 1.8 and ending near G = 1.19, where the original stayed flat around 0.82. This is the signature of a larger generator working harder, and the run stays stable.</w:t>
      </w:r>
    </w:p>
    <w:p>
      <w:pPr>
        <w:pStyle w:val="Heading1"/>
      </w:pPr>
      <w:r>
        <w:rPr/>
        <w:t xml:space="preserve">3. Part 2.1: OCTMNIST retinal images (DCGAN, TensorFlow/Keras)</w:t>
      </w:r>
    </w:p>
    <w:p>
      <w:pPr>
        <w:spacing w:after="140"/>
        <w:jc w:val="both"/>
      </w:pPr>
      <w:r>
        <w:rPr/>
        <w:t xml:space="preserve">OCTMNIST comes from MedMNIST v2 (Yang et al., 2023) and holds 97,477 training scans at 28x28 greyscale, spread unevenly across four classes: choroidal neovascularisation, diabetic macular oedema, drusen and normal. Every scan shares the same broad structure, a bright curved retinal band over a darker background with faint layering beneath.</w:t>
      </w:r>
    </w:p>
    <w:p>
      <w:pPr>
        <w:spacing w:after="140"/>
        <w:jc w:val="both"/>
      </w:pPr>
      <w:r>
        <w:rPr/>
        <w:t xml:space="preserve">Because that structure is spatial and local, a DCGAN suits it better than a fully connected GAN (Radford et al., 2016). The generator maps a 100-dimensional latent vector through a dense layer and three Conv2DTranspose blocks (BatchNorm and ReLU) to a 32x32 tanh image, about 1.08M parameters, and the discriminator mirrors it with strided Conv2D, LeakyReLU and 0.3 dropout. Training uses Adam (learning rate 2e-4, beta1 = 0.5) with label smoothing on a 30,000-image subset for 60 epochs.</w:t>
      </w:r>
    </w:p>
    <w:p>
      <w:pPr>
        <w:jc w:val="center"/>
        <w:spacing w:before="80"/>
      </w:pPr>
      <w:r>
        <w:drawing>
          <wp:inline distT="0" distB="0" distL="0" distR="0">
            <wp:extent cx="3993931" cy="21945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3993931" cy="2194560"/>
                    </a:xfrm>
                    <a:prstGeom prst="rect">
                      <a:avLst/>
                    </a:prstGeom>
                  </pic:spPr>
                </pic:pic>
              </a:graphicData>
            </a:graphic>
          </wp:inline>
        </w:drawing>
      </w:r>
    </w:p>
    <w:p>
      <w:pPr>
        <w:jc w:val="center"/>
        <w:spacing w:after="160"/>
        <w:rPr>
          <w:i/>
          <w:sz w:val="18"/>
        </w:rPr>
      </w:pPr>
      <w:r>
        <w:rPr>
          <w:i/>
          <w:sz w:val="18"/>
        </w:rPr>
        <w:t xml:space="preserve">Figure 3. Real (left) vs generated (right) OCT scans.</w:t>
      </w:r>
    </w:p>
    <w:p>
      <w:pPr>
        <w:spacing w:after="140"/>
        <w:jc w:val="both"/>
      </w:pPr>
      <w:r>
        <w:rPr/>
        <w:t xml:space="preserve">In Figure 3 the generated scans capture the retinal band and vary across the batch, so there is no mode collapse. Their FID (Heusel et al., 2017) is 66.83, fairly high and consistent with the visible blur where fine sub-layers and speckle are lost. Three things inflate it beyond the raw quality: only 60 epochs on a subset, the 28 to 32 pixel upscaling, and an ImageNet-trained InceptionV3 (Szegedy et al., 2016) that has never seen single-channel medical images.</w:t>
      </w:r>
    </w:p>
    <w:p>
      <w:pPr>
        <w:jc w:val="center"/>
        <w:spacing w:before="80"/>
      </w:pPr>
      <w:r>
        <w:drawing>
          <wp:inline distT="0" distB="0" distL="0" distR="0">
            <wp:extent cx="3855915" cy="21945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3855915" cy="2194560"/>
                    </a:xfrm>
                    <a:prstGeom prst="rect">
                      <a:avLst/>
                    </a:prstGeom>
                  </pic:spPr>
                </pic:pic>
              </a:graphicData>
            </a:graphic>
          </wp:inline>
        </w:drawing>
      </w:r>
    </w:p>
    <w:p>
      <w:pPr>
        <w:jc w:val="center"/>
        <w:spacing w:after="160"/>
        <w:rPr>
          <w:i/>
          <w:sz w:val="18"/>
        </w:rPr>
      </w:pPr>
      <w:r>
        <w:rPr>
          <w:i/>
          <w:sz w:val="18"/>
        </w:rPr>
        <w:t xml:space="preserve">Figure 4. OCTMNIST DCGAN training loss curves.</w:t>
      </w:r>
    </w:p>
    <w:p>
      <w:pPr>
        <w:spacing w:after="140"/>
        <w:jc w:val="both"/>
      </w:pPr>
      <w:r>
        <w:rPr/>
        <w:t xml:space="preserve">Figure 4 shows the discriminator loss staying low, around 0.4 to 0.6, while the generator loss oscillates between 2 and 5 without collapsing. The discriminator keeps a modest edge but never wins outright, so the generator keeps receiving usable gradient.</w:t>
      </w:r>
    </w:p>
    <w:p>
      <w:pPr>
        <w:jc w:val="center"/>
        <w:spacing w:before="80"/>
      </w:pPr>
      <w:r>
        <w:drawing>
          <wp:inline distT="0" distB="0" distL="0" distR="0">
            <wp:extent cx="4206240" cy="9786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4206240" cy="978609"/>
                    </a:xfrm>
                    <a:prstGeom prst="rect">
                      <a:avLst/>
                    </a:prstGeom>
                  </pic:spPr>
                </pic:pic>
              </a:graphicData>
            </a:graphic>
          </wp:inline>
        </w:drawing>
      </w:r>
    </w:p>
    <w:p>
      <w:pPr>
        <w:jc w:val="center"/>
        <w:spacing w:after="160"/>
        <w:rPr>
          <w:i/>
          <w:sz w:val="18"/>
        </w:rPr>
      </w:pPr>
      <w:r>
        <w:rPr>
          <w:i/>
          <w:sz w:val="18"/>
        </w:rPr>
        <w:t xml:space="preserve">Figure 5. OCTMNIST DCGAN samples across epochs (1, 16, 30, 45, 60).</w:t>
      </w:r>
    </w:p>
    <w:p>
      <w:pPr>
        <w:spacing w:after="140"/>
        <w:jc w:val="both"/>
      </w:pPr>
      <w:r>
        <w:rPr/>
        <w:t xml:space="preserve">In Figure 5 the epoch snapshots move from random texture at epoch 1 to a recognisable layered band by the middle epochs, after which they mainly sharpen. This progression shows the generator learning scan structure over time and not copying one stored image.</w:t>
      </w:r>
    </w:p>
    <w:p>
      <w:pPr>
        <w:spacing w:after="140"/>
        <w:jc w:val="both"/>
      </w:pPr>
      <w:r>
        <w:rPr/>
        <w:t xml:space="preserve">This is the hazard the brief calls generating 'ducks'. If a scan looks like a duck and quacks like one, the discriminator accepts it, because it only answers 'real or fake' and never 'is this physiologically valid'. The generator can therefore invent a bright band or lesion-like patch that no real patient had, mimicking absent disease or smoothing over a real anomaly. A synthetic scan must never be used for diagnosis; its defensible uses are augmentation and teaching, and any model trained on synthetic scans should be checked against a real-only holdout to confirm it has learned real pathology and not GAN artefacts.</w:t>
      </w:r>
    </w:p>
    <w:p>
      <w:pPr>
        <w:spacing w:after="140"/>
        <w:jc w:val="both"/>
      </w:pPr>
      <w:r>
        <w:rPr/>
        <w:t xml:space="preserve">The unconditional model cannot be asked for a specific class. A conditional GAN (Mirza and Osindero, 2014) feeds the label into both networks: embedded and concatenated with the latent vector for the generator, and as an extra image channel for the discriminator, which forces per-class realism. The classes are oversampled to balance the data, and the discriminator trains at a slower learning rate, a two-time-scale update that stabilises training (Heusel et al., 2017).</w:t>
      </w:r>
    </w:p>
    <w:p>
      <w:pPr>
        <w:jc w:val="center"/>
        <w:spacing w:before="80"/>
      </w:pPr>
      <w:r>
        <w:drawing>
          <wp:inline distT="0" distB="0" distL="0" distR="0">
            <wp:extent cx="3827026" cy="21945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Img6"/>
                    <a:stretch>
                      <a:fillRect/>
                    </a:stretch>
                  </pic:blipFill>
                  <pic:spPr>
                    <a:xfrm>
                      <a:off x="0" y="0"/>
                      <a:ext cx="3827026" cy="2194560"/>
                    </a:xfrm>
                    <a:prstGeom prst="rect">
                      <a:avLst/>
                    </a:prstGeom>
                  </pic:spPr>
                </pic:pic>
              </a:graphicData>
            </a:graphic>
          </wp:inline>
        </w:drawing>
      </w:r>
    </w:p>
    <w:p>
      <w:pPr>
        <w:jc w:val="center"/>
        <w:spacing w:after="160"/>
        <w:rPr>
          <w:i/>
          <w:sz w:val="18"/>
        </w:rPr>
      </w:pPr>
      <w:r>
        <w:rPr>
          <w:i/>
          <w:sz w:val="18"/>
        </w:rPr>
        <w:t xml:space="preserve">Figure 6. Conditional GAN output, one diagnostic class per row.</w:t>
      </w:r>
    </w:p>
    <w:p>
      <w:pPr>
        <w:spacing w:after="140"/>
        <w:jc w:val="both"/>
      </w:pPr>
      <w:r>
        <w:rPr/>
        <w:t xml:space="preserve">In Figure 6 each row is clearly consistent with its class, so the model generates a chosen category on demand. Its losses end near D = 0.35 and G = 4.11, similar to the unconditional run.</w:t>
      </w:r>
    </w:p>
    <w:p>
      <w:pPr>
        <w:pStyle w:val="Heading1"/>
      </w:pPr>
      <w:r>
        <w:rPr/>
        <w:t xml:space="preserve">4. Part 2.2: synthetic CICIDS2017 network traffic (tabular GAN, PyTorch)</w:t>
      </w:r>
    </w:p>
    <w:p>
      <w:pPr>
        <w:spacing w:after="140"/>
        <w:jc w:val="both"/>
      </w:pPr>
      <w:r>
        <w:rPr/>
        <w:t xml:space="preserve">CICIDS2017 (Sharafaldin et al., 2018) is split across eight day-files that must be combined. The data are heavily imbalanced: 2,273,097 BENIGN flows dwarf the largest attacks, such as DoS Hulk (231,073), PortScan (158,930) and DDoS (128,027), while the rarest fall to a handful of rows, including SQL Injection (21) and Heartbleed (11). The main model uses the Wednesday file, with 692,703 rows over 78 numeric features, dropping to 691,406 after infinite and missing values are removed. Wednesday holds 439,683 BENIGN and 251,723 attack flows; from these I take a balanced 20,000 per class (40,000 rows) and standardise with a z-score.</w:t>
      </w:r>
    </w:p>
    <w:p>
      <w:pPr>
        <w:spacing w:after="140"/>
        <w:jc w:val="both"/>
      </w:pPr>
      <w:r>
        <w:rPr/>
        <w:t xml:space="preserve">With no spatial grid, a DCGAN makes little sense here, so the model is an MLP GAN that emits the full 78-dimensional vector at once. The generator stacks three BatchNorm and LeakyReLU blocks at 256 units with a linear output, which suits z-scored features because a tanh would clip them, and the discriminator is a 256-unit LeakyReLU MLP with 0.3 dropout. Training matches the image parts (Adam at 2e-4, BCEWithLogitsLoss, label smoothing). Over 60 epochs the discriminator loss falls from 1.3548 to 1.0248 and the generator rises from 0.8257 to 1.3455, a slow and stable separation.</w:t>
      </w:r>
    </w:p>
    <w:p>
      <w:pPr>
        <w:jc w:val="center"/>
        <w:spacing w:before="80"/>
      </w:pPr>
      <w:r>
        <w:drawing>
          <wp:inline distT="0" distB="0" distL="0" distR="0">
            <wp:extent cx="2488510" cy="21945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Img7"/>
                    <a:stretch>
                      <a:fillRect/>
                    </a:stretch>
                  </pic:blipFill>
                  <pic:spPr>
                    <a:xfrm>
                      <a:off x="0" y="0"/>
                      <a:ext cx="2488510" cy="2194560"/>
                    </a:xfrm>
                    <a:prstGeom prst="rect">
                      <a:avLst/>
                    </a:prstGeom>
                  </pic:spPr>
                </pic:pic>
              </a:graphicData>
            </a:graphic>
          </wp:inline>
        </w:drawing>
      </w:r>
    </w:p>
    <w:p>
      <w:pPr>
        <w:jc w:val="center"/>
        <w:spacing w:after="160"/>
        <w:rPr>
          <w:i/>
          <w:sz w:val="18"/>
        </w:rPr>
      </w:pPr>
      <w:r>
        <w:rPr>
          <w:i/>
          <w:sz w:val="18"/>
        </w:rPr>
        <w:t xml:space="preserve">Figure 7. PCA of real (blue) vs generated (red) flow vectors.</w:t>
      </w:r>
    </w:p>
    <w:p>
      <w:pPr>
        <w:spacing w:after="140"/>
        <w:jc w:val="both"/>
      </w:pPr>
      <w:r>
        <w:rPr/>
        <w:t xml:space="preserve">In the PCA projection of Figure 7 (Jolliffe, 2002), and equally in t-SNE (van der Maaten and Hinton, 2008), the generated cloud sits on the main body of the real points but is more concentrated, capturing where most traffic lives without reaching the tails. The numbers agree: the mean absolute error on feature means is a healthy 0.0723 in standardised units, while on standard deviations it is a weaker 0.3179, so averages are matched far more closely than spread. The worst-aligned columns are timing and flag features, and for near-binary flags the generated standard deviation almost vanishes (URG Flag Count 0.030, Fwd PSH Flags 0.024 against real values near 1.0), a partial mode collapse on the discrete features.</w:t>
      </w:r>
    </w:p>
    <w:p>
      <w:pPr>
        <w:jc w:val="center"/>
        <w:spacing w:before="80"/>
      </w:pPr>
      <w:r>
        <w:drawing>
          <wp:inline distT="0" distB="0" distL="0" distR="0">
            <wp:extent cx="2507473" cy="21945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Img8"/>
                    <a:stretch>
                      <a:fillRect/>
                    </a:stretch>
                  </pic:blipFill>
                  <pic:spPr>
                    <a:xfrm>
                      <a:off x="0" y="0"/>
                      <a:ext cx="2507473" cy="2194560"/>
                    </a:xfrm>
                    <a:prstGeom prst="rect">
                      <a:avLst/>
                    </a:prstGeom>
                  </pic:spPr>
                </pic:pic>
              </a:graphicData>
            </a:graphic>
          </wp:inline>
        </w:drawing>
      </w:r>
    </w:p>
    <w:p>
      <w:pPr>
        <w:jc w:val="center"/>
        <w:spacing w:after="160"/>
        <w:rPr>
          <w:i/>
          <w:sz w:val="18"/>
        </w:rPr>
      </w:pPr>
      <w:r>
        <w:rPr>
          <w:i/>
          <w:sz w:val="18"/>
        </w:rPr>
        <w:t xml:space="preserve">Figure 8. t-SNE of real (blue) vs generated (red) flow vectors.</w:t>
      </w:r>
    </w:p>
    <w:p>
      <w:pPr>
        <w:spacing w:after="140"/>
        <w:jc w:val="both"/>
      </w:pPr>
      <w:r>
        <w:rPr/>
        <w:t xml:space="preserve">Figure 8 makes this clearer: t-SNE separates the local clusters PCA blurs together, and the generated points still land on the main real clusters while packing slightly more tightly, the same story the alignment numbers tell.</w:t>
      </w:r>
    </w:p>
    <w:p>
      <w:pPr>
        <w:spacing w:after="140"/>
        <w:jc w:val="both"/>
      </w:pPr>
      <w:r>
        <w:rPr/>
        <w:t xml:space="preserve">The duck test bites harder here. A generated flow only has to look like plausible traffic, a much weaker bar than reproducing a real attack's timing, packet structure and flag sequences. Used to augment an intrusion detection system, a fabricated 'attack' matching no real signature could teach the model to miss genuine attacks, while a fabricated 'benign' flow drifting attack-ward could raise false positives. There is no visual sanity check for 78 numbers, so the burden falls on quantitative checks, and the flag collapse shows those can look healthy while hiding a failure. On wording, the Wednesday file holds DoS variants; genuine DDoS sits in the Friday file, used next.</w:t>
      </w:r>
    </w:p>
    <w:p>
      <w:pPr>
        <w:jc w:val="center"/>
        <w:spacing w:before="80"/>
      </w:pPr>
      <w:r>
        <w:drawing>
          <wp:inline distT="0" distB="0" distL="0" distR="0">
            <wp:extent cx="4206240" cy="192201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Img9"/>
                    <a:stretch>
                      <a:fillRect/>
                    </a:stretch>
                  </pic:blipFill>
                  <pic:spPr>
                    <a:xfrm>
                      <a:off x="0" y="0"/>
                      <a:ext cx="4206240" cy="1922013"/>
                    </a:xfrm>
                    <a:prstGeom prst="rect">
                      <a:avLst/>
                    </a:prstGeom>
                  </pic:spPr>
                </pic:pic>
              </a:graphicData>
            </a:graphic>
          </wp:inline>
        </w:drawing>
      </w:r>
    </w:p>
    <w:p>
      <w:pPr>
        <w:jc w:val="center"/>
        <w:spacing w:after="160"/>
        <w:rPr>
          <w:i/>
          <w:sz w:val="18"/>
        </w:rPr>
      </w:pPr>
      <w:r>
        <w:rPr>
          <w:i/>
          <w:sz w:val="18"/>
        </w:rPr>
        <w:t xml:space="preserve">Figure 9. All-days PCA coloured by attack type (left) and real-vs-generated (right).</w:t>
      </w:r>
    </w:p>
    <w:p>
      <w:pPr>
        <w:spacing w:after="140"/>
        <w:jc w:val="both"/>
      </w:pPr>
      <w:r>
        <w:rPr/>
        <w:t xml:space="preserve">Combining all eight days, with per-file capping, gives 125,310 rows across every attack family (Figure 9). The generator covers the dense centre well, including BENIGN, DoS Hulk and true DDoS, but under-represents the smaller clusters. Tellingly, this diversity made alignment worse: the mean error on means rose from 0.0723 to 0.1141 and on standard deviations from 0.3179 to 0.3544. Asking one unconditional generator to cover many modes cost more than the extra data returned, so it does not generalise cleanly; a class-conditional GAN, or one model per family, is the clear next step.</w:t>
      </w:r>
    </w:p>
    <w:p>
      <w:pPr>
        <w:pStyle w:val="Heading1"/>
      </w:pPr>
      <w:r>
        <w:rPr/>
        <w:t xml:space="preserve">5. Part 2.3: creative AI with QuickDraw birthday-cake sketches (DCGAN, TensorFlow/Keras)</w:t>
      </w:r>
    </w:p>
    <w:p>
      <w:pPr>
        <w:spacing w:after="140"/>
        <w:jc w:val="both"/>
      </w:pPr>
      <w:r>
        <w:rPr/>
        <w:t xml:space="preserve">QuickDraw (Ha and Eck, 2018; Google Creative Lab) supplies 28x28 greyscale doodles as high-contrast line art on black. The birthday-cake category holds 144,982 sketches, usually a cake body, candles and often a plate line.</w:t>
      </w:r>
    </w:p>
    <w:p>
      <w:pPr>
        <w:spacing w:after="140"/>
        <w:jc w:val="both"/>
      </w:pPr>
      <w:r>
        <w:rPr/>
        <w:t xml:space="preserve">A doodle is defined by where its strokes fall, again local spatial structure, so the DCGAN builders from Part 2.1 apply directly; reusing them across two different domains is itself a useful check. The one change is a larger 128-dimensional latent vector for the greater variety of shapes. Training uses Adam at 2e-4 with label smoothing on 30,000 images for 50 epochs.</w:t>
      </w:r>
    </w:p>
    <w:p>
      <w:pPr>
        <w:jc w:val="center"/>
        <w:spacing w:before="80"/>
      </w:pPr>
      <w:r>
        <w:drawing>
          <wp:inline distT="0" distB="0" distL="0" distR="0">
            <wp:extent cx="3900816" cy="21945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Img10"/>
                    <a:stretch>
                      <a:fillRect/>
                    </a:stretch>
                  </pic:blipFill>
                  <pic:spPr>
                    <a:xfrm>
                      <a:off x="0" y="0"/>
                      <a:ext cx="3900816" cy="2194560"/>
                    </a:xfrm>
                    <a:prstGeom prst="rect">
                      <a:avLst/>
                    </a:prstGeom>
                  </pic:spPr>
                </pic:pic>
              </a:graphicData>
            </a:graphic>
          </wp:inline>
        </w:drawing>
      </w:r>
    </w:p>
    <w:p>
      <w:pPr>
        <w:jc w:val="center"/>
        <w:spacing w:after="160"/>
        <w:rPr>
          <w:i/>
          <w:sz w:val="18"/>
        </w:rPr>
      </w:pPr>
      <w:r>
        <w:rPr>
          <w:i/>
          <w:sz w:val="18"/>
        </w:rPr>
        <w:t xml:space="preserve">Figure 10. QuickDraw DCGAN training loss curves.</w:t>
      </w:r>
    </w:p>
    <w:p>
      <w:pPr>
        <w:spacing w:after="140"/>
        <w:jc w:val="both"/>
      </w:pPr>
      <w:r>
        <w:rPr/>
        <w:t xml:space="preserve">Figure 10 shows the discriminator loss staying low, around 0.34 to 0.9, while the generator loss swings through 1.3 to 6.1 as the two trade advantage. With no runaway spike and no flat-lined trace, training is stable across all 50 epochs.</w:t>
      </w:r>
    </w:p>
    <w:p>
      <w:pPr>
        <w:jc w:val="center"/>
        <w:spacing w:before="80"/>
      </w:pPr>
      <w:r>
        <w:drawing>
          <wp:inline distT="0" distB="0" distL="0" distR="0">
            <wp:extent cx="3993931" cy="21945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Img11"/>
                    <a:stretch>
                      <a:fillRect/>
                    </a:stretch>
                  </pic:blipFill>
                  <pic:spPr>
                    <a:xfrm>
                      <a:off x="0" y="0"/>
                      <a:ext cx="3993931" cy="2194560"/>
                    </a:xfrm>
                    <a:prstGeom prst="rect">
                      <a:avLst/>
                    </a:prstGeom>
                  </pic:spPr>
                </pic:pic>
              </a:graphicData>
            </a:graphic>
          </wp:inline>
        </w:drawing>
      </w:r>
    </w:p>
    <w:p>
      <w:pPr>
        <w:jc w:val="center"/>
        <w:spacing w:after="160"/>
        <w:rPr>
          <w:i/>
          <w:sz w:val="18"/>
        </w:rPr>
      </w:pPr>
      <w:r>
        <w:rPr>
          <w:i/>
          <w:sz w:val="18"/>
        </w:rPr>
        <w:t xml:space="preserve">Figure 11. Real (left) vs generated (right) birthday-cake sketches.</w:t>
      </w:r>
    </w:p>
    <w:p>
      <w:pPr>
        <w:spacing w:after="140"/>
        <w:jc w:val="both"/>
      </w:pPr>
      <w:r>
        <w:rPr/>
        <w:t xml:space="preserve">In Figure 11 the final cakes are easy to read and vary across the grid, so there is no mode collapse; the flaws are the usual line-art ones, broken or doubled strokes and a little speckle. The FID is 32.59, well below the OCT scans' 66.83, which fits the intuition that clean line art sits more comfortably in InceptionV3's feature space than soft medical texture.</w:t>
      </w:r>
    </w:p>
    <w:p>
      <w:pPr>
        <w:jc w:val="center"/>
        <w:spacing w:before="80"/>
      </w:pPr>
      <w:r>
        <w:drawing>
          <wp:inline distT="0" distB="0" distL="0" distR="0">
            <wp:extent cx="4206240" cy="9786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Img12"/>
                    <a:stretch>
                      <a:fillRect/>
                    </a:stretch>
                  </pic:blipFill>
                  <pic:spPr>
                    <a:xfrm>
                      <a:off x="0" y="0"/>
                      <a:ext cx="4206240" cy="978609"/>
                    </a:xfrm>
                    <a:prstGeom prst="rect">
                      <a:avLst/>
                    </a:prstGeom>
                  </pic:spPr>
                </pic:pic>
              </a:graphicData>
            </a:graphic>
          </wp:inline>
        </w:drawing>
      </w:r>
    </w:p>
    <w:p>
      <w:pPr>
        <w:jc w:val="center"/>
        <w:spacing w:after="160"/>
        <w:rPr>
          <w:i/>
          <w:sz w:val="18"/>
        </w:rPr>
      </w:pPr>
      <w:r>
        <w:rPr>
          <w:i/>
          <w:sz w:val="18"/>
        </w:rPr>
        <w:t xml:space="preserve">Figure 12. Generated cake samples across epochs (1, 13, 26, 38, 50).</w:t>
      </w:r>
    </w:p>
    <w:p>
      <w:pPr>
        <w:spacing w:after="140"/>
        <w:jc w:val="both"/>
      </w:pPr>
      <w:r>
        <w:rPr/>
        <w:t xml:space="preserve">In Figure 12 the progression shows the outline and candles appearing early and then sharpening, evidence the generator is learning cake structure and not memorising a fixed example.</w:t>
      </w:r>
    </w:p>
    <w:p>
      <w:pPr>
        <w:jc w:val="center"/>
        <w:spacing w:before="80"/>
      </w:pPr>
      <w:r>
        <w:drawing>
          <wp:inline distT="0" distB="0" distL="0" distR="0">
            <wp:extent cx="4206240" cy="18211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Img13"/>
                    <a:stretch>
                      <a:fillRect/>
                    </a:stretch>
                  </pic:blipFill>
                  <pic:spPr>
                    <a:xfrm>
                      <a:off x="0" y="0"/>
                      <a:ext cx="4206240" cy="1821125"/>
                    </a:xfrm>
                    <a:prstGeom prst="rect">
                      <a:avLst/>
                    </a:prstGeom>
                  </pic:spPr>
                </pic:pic>
              </a:graphicData>
            </a:graphic>
          </wp:inline>
        </w:drawing>
      </w:r>
    </w:p>
    <w:p>
      <w:pPr>
        <w:jc w:val="center"/>
        <w:spacing w:after="160"/>
        <w:rPr>
          <w:i/>
          <w:sz w:val="18"/>
        </w:rPr>
      </w:pPr>
      <w:r>
        <w:rPr>
          <w:i/>
          <w:sz w:val="18"/>
        </w:rPr>
        <w:t xml:space="preserve">Figure 13. FID by category (left) vs mean ink density (right).</w:t>
      </w:r>
    </w:p>
    <w:p>
      <w:pPr>
        <w:spacing w:after="140"/>
        <w:jc w:val="both"/>
      </w:pPr>
      <w:r>
        <w:rPr/>
        <w:t xml:space="preserve">Training the same DCGAN on cat and house lets me weigh FID against a cheap complexity proxy, mean ink density, with both plotted in Figure 13. The two orderings differ: by FID it is house (24.75), cake (32.59), cat (41.09), while by ink density it is house (0.2368), cat (0.2655), cake (0.2708). House is easiest on both by a clear margin, yet cake beats cat despite the highest ink density, so ink coverage alone does not predict difficulty. A house is close to a fixed template, a square plus a triangle, and is easiest; cats vary most in pose and outline and are hardest, with cakes in between, so structural variety drives difficulty more than raw ink coverage.</w:t>
      </w:r>
    </w:p>
    <w:p>
      <w:pPr>
        <w:pStyle w:val="Heading1"/>
      </w:pPr>
      <w:r>
        <w:rPr/>
        <w:t xml:space="preserve">6. Conclusion</w:t>
      </w:r>
    </w:p>
    <w:p>
      <w:pPr>
        <w:spacing w:after="140"/>
        <w:jc w:val="both"/>
      </w:pPr>
      <w:r>
        <w:rPr/>
        <w:t xml:space="preserve">Table 1 draws the results together, scoring each GAN on the yardstick that suits its domain. The image GANs line up with visual quality: the clean QuickDraw sketches beat the soft, texture-heavy OCT scans on FID, and within QuickDraw the repetitive house is easiest by a wide margin. The tabular GAN, judged on distribution alignment, reverses the usual 'more data helps' intuition, since widening from one day to all eight nearly doubles the mean gap and inflates the variance gap.</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1780" w:type="dxa"/>
          </w:tcPr>
          <w:p>
            <w:pPr>
              <w:spacing w:after="0"/>
            </w:pPr>
            <w:r>
              <w:rPr>
                <w:b/>
                <w:sz w:val="18"/>
              </w:rPr>
              <w:t xml:space="preserve">Part</w:t>
            </w:r>
          </w:p>
        </w:tc>
        <w:tc>
          <w:tcPr>
            <w:tcW w:w="1780" w:type="dxa"/>
          </w:tcPr>
          <w:p>
            <w:pPr>
              <w:spacing w:after="0"/>
            </w:pPr>
            <w:r>
              <w:rPr>
                <w:b/>
                <w:sz w:val="18"/>
              </w:rPr>
              <w:t xml:space="preserve">Model</w:t>
            </w:r>
          </w:p>
        </w:tc>
        <w:tc>
          <w:tcPr>
            <w:tcW w:w="1780" w:type="dxa"/>
          </w:tcPr>
          <w:p>
            <w:pPr>
              <w:spacing w:after="0"/>
            </w:pPr>
            <w:r>
              <w:rPr>
                <w:b/>
                <w:sz w:val="18"/>
              </w:rPr>
              <w:t xml:space="preserve">Data</w:t>
            </w:r>
          </w:p>
        </w:tc>
        <w:tc>
          <w:tcPr>
            <w:tcW w:w="1780" w:type="dxa"/>
          </w:tcPr>
          <w:p>
            <w:pPr>
              <w:spacing w:after="0"/>
            </w:pPr>
            <w:r>
              <w:rPr>
                <w:b/>
                <w:sz w:val="18"/>
              </w:rPr>
              <w:t xml:space="preserve">Metric</w:t>
            </w:r>
          </w:p>
        </w:tc>
        <w:tc>
          <w:tcPr>
            <w:tcW w:w="1780" w:type="dxa"/>
          </w:tcPr>
          <w:p>
            <w:pPr>
              <w:spacing w:after="0"/>
            </w:pPr>
            <w:r>
              <w:rPr>
                <w:b/>
                <w:sz w:val="18"/>
              </w:rPr>
              <w:t xml:space="preserve">Value</w:t>
            </w:r>
          </w:p>
        </w:tc>
      </w:tr>
      <w:tr>
        <w:tc>
          <w:tcPr>
            <w:tcW w:w="1780" w:type="dxa"/>
          </w:tcPr>
          <w:p>
            <w:pPr>
              <w:spacing w:after="0"/>
            </w:pPr>
            <w:r>
              <w:rPr>
                <w:sz w:val="18"/>
              </w:rPr>
              <w:t xml:space="preserve">2.1</w:t>
            </w:r>
          </w:p>
        </w:tc>
        <w:tc>
          <w:tcPr>
            <w:tcW w:w="1780" w:type="dxa"/>
          </w:tcPr>
          <w:p>
            <w:pPr>
              <w:spacing w:after="0"/>
            </w:pPr>
            <w:r>
              <w:rPr>
                <w:sz w:val="18"/>
              </w:rPr>
              <w:t xml:space="preserve">DCGAN</w:t>
            </w:r>
          </w:p>
        </w:tc>
        <w:tc>
          <w:tcPr>
            <w:tcW w:w="1780" w:type="dxa"/>
          </w:tcPr>
          <w:p>
            <w:pPr>
              <w:spacing w:after="0"/>
            </w:pPr>
            <w:r>
              <w:rPr>
                <w:sz w:val="18"/>
              </w:rPr>
              <w:t xml:space="preserve">OCTMNIST scans</w:t>
            </w:r>
          </w:p>
        </w:tc>
        <w:tc>
          <w:tcPr>
            <w:tcW w:w="1780" w:type="dxa"/>
          </w:tcPr>
          <w:p>
            <w:pPr>
              <w:spacing w:after="0"/>
            </w:pPr>
            <w:r>
              <w:rPr>
                <w:sz w:val="18"/>
              </w:rPr>
              <w:t xml:space="preserve">FID (lower = better)</w:t>
            </w:r>
          </w:p>
        </w:tc>
        <w:tc>
          <w:tcPr>
            <w:tcW w:w="1780" w:type="dxa"/>
          </w:tcPr>
          <w:p>
            <w:pPr>
              <w:spacing w:after="0"/>
            </w:pPr>
            <w:r>
              <w:rPr>
                <w:sz w:val="18"/>
              </w:rPr>
              <w:t xml:space="preserve">66.83</w:t>
            </w:r>
          </w:p>
        </w:tc>
      </w:tr>
      <w:tr>
        <w:tc>
          <w:tcPr>
            <w:tcW w:w="1780" w:type="dxa"/>
          </w:tcPr>
          <w:p>
            <w:pPr>
              <w:spacing w:after="0"/>
            </w:pPr>
            <w:r>
              <w:rPr>
                <w:sz w:val="18"/>
              </w:rPr>
              <w:t xml:space="preserve">2.1 (ext.)</w:t>
            </w:r>
          </w:p>
        </w:tc>
        <w:tc>
          <w:tcPr>
            <w:tcW w:w="1780" w:type="dxa"/>
          </w:tcPr>
          <w:p>
            <w:pPr>
              <w:spacing w:after="0"/>
            </w:pPr>
            <w:r>
              <w:rPr>
                <w:sz w:val="18"/>
              </w:rPr>
              <w:t xml:space="preserve">Conditional DCGAN</w:t>
            </w:r>
          </w:p>
        </w:tc>
        <w:tc>
          <w:tcPr>
            <w:tcW w:w="1780" w:type="dxa"/>
          </w:tcPr>
          <w:p>
            <w:pPr>
              <w:spacing w:after="0"/>
            </w:pPr>
            <w:r>
              <w:rPr>
                <w:sz w:val="18"/>
              </w:rPr>
              <w:t xml:space="preserve">OCTMNIST scans</w:t>
            </w:r>
          </w:p>
        </w:tc>
        <w:tc>
          <w:tcPr>
            <w:tcW w:w="1780" w:type="dxa"/>
          </w:tcPr>
          <w:p>
            <w:pPr>
              <w:spacing w:after="0"/>
            </w:pPr>
            <w:r>
              <w:rPr>
                <w:sz w:val="18"/>
              </w:rPr>
              <w:t xml:space="preserve">final losses D / G</w:t>
            </w:r>
          </w:p>
        </w:tc>
        <w:tc>
          <w:tcPr>
            <w:tcW w:w="1780" w:type="dxa"/>
          </w:tcPr>
          <w:p>
            <w:pPr>
              <w:spacing w:after="0"/>
            </w:pPr>
            <w:r>
              <w:rPr>
                <w:sz w:val="18"/>
              </w:rPr>
              <w:t xml:space="preserve">0.35 / 4.11</w:t>
            </w:r>
          </w:p>
        </w:tc>
      </w:tr>
      <w:tr>
        <w:tc>
          <w:tcPr>
            <w:tcW w:w="1780" w:type="dxa"/>
          </w:tcPr>
          <w:p>
            <w:pPr>
              <w:spacing w:after="0"/>
            </w:pPr>
            <w:r>
              <w:rPr>
                <w:sz w:val="18"/>
              </w:rPr>
              <w:t xml:space="preserve">2.3</w:t>
            </w:r>
          </w:p>
        </w:tc>
        <w:tc>
          <w:tcPr>
            <w:tcW w:w="1780" w:type="dxa"/>
          </w:tcPr>
          <w:p>
            <w:pPr>
              <w:spacing w:after="0"/>
            </w:pPr>
            <w:r>
              <w:rPr>
                <w:sz w:val="18"/>
              </w:rPr>
              <w:t xml:space="preserve">DCGAN</w:t>
            </w:r>
          </w:p>
        </w:tc>
        <w:tc>
          <w:tcPr>
            <w:tcW w:w="1780" w:type="dxa"/>
          </w:tcPr>
          <w:p>
            <w:pPr>
              <w:spacing w:after="0"/>
            </w:pPr>
            <w:r>
              <w:rPr>
                <w:sz w:val="18"/>
              </w:rPr>
              <w:t xml:space="preserve">QuickDraw birthday cake</w:t>
            </w:r>
          </w:p>
        </w:tc>
        <w:tc>
          <w:tcPr>
            <w:tcW w:w="1780" w:type="dxa"/>
          </w:tcPr>
          <w:p>
            <w:pPr>
              <w:spacing w:after="0"/>
            </w:pPr>
            <w:r>
              <w:rPr>
                <w:sz w:val="18"/>
              </w:rPr>
              <w:t xml:space="preserve">FID</w:t>
            </w:r>
          </w:p>
        </w:tc>
        <w:tc>
          <w:tcPr>
            <w:tcW w:w="1780" w:type="dxa"/>
          </w:tcPr>
          <w:p>
            <w:pPr>
              <w:spacing w:after="0"/>
            </w:pPr>
            <w:r>
              <w:rPr>
                <w:sz w:val="18"/>
              </w:rPr>
              <w:t xml:space="preserve">32.59</w:t>
            </w:r>
          </w:p>
        </w:tc>
      </w:tr>
      <w:tr>
        <w:tc>
          <w:tcPr>
            <w:tcW w:w="1780" w:type="dxa"/>
          </w:tcPr>
          <w:p>
            <w:pPr>
              <w:spacing w:after="0"/>
            </w:pPr>
            <w:r>
              <w:rPr>
                <w:sz w:val="18"/>
              </w:rPr>
              <w:t xml:space="preserve">2.3 (ext.)</w:t>
            </w:r>
          </w:p>
        </w:tc>
        <w:tc>
          <w:tcPr>
            <w:tcW w:w="1780" w:type="dxa"/>
          </w:tcPr>
          <w:p>
            <w:pPr>
              <w:spacing w:after="0"/>
            </w:pPr>
            <w:r>
              <w:rPr>
                <w:sz w:val="18"/>
              </w:rPr>
              <w:t xml:space="preserve">DCGAN</w:t>
            </w:r>
          </w:p>
        </w:tc>
        <w:tc>
          <w:tcPr>
            <w:tcW w:w="1780" w:type="dxa"/>
          </w:tcPr>
          <w:p>
            <w:pPr>
              <w:spacing w:after="0"/>
            </w:pPr>
            <w:r>
              <w:rPr>
                <w:sz w:val="18"/>
              </w:rPr>
              <w:t xml:space="preserve">QuickDraw cat</w:t>
            </w:r>
          </w:p>
        </w:tc>
        <w:tc>
          <w:tcPr>
            <w:tcW w:w="1780" w:type="dxa"/>
          </w:tcPr>
          <w:p>
            <w:pPr>
              <w:spacing w:after="0"/>
            </w:pPr>
            <w:r>
              <w:rPr>
                <w:sz w:val="18"/>
              </w:rPr>
              <w:t xml:space="preserve">FID</w:t>
            </w:r>
          </w:p>
        </w:tc>
        <w:tc>
          <w:tcPr>
            <w:tcW w:w="1780" w:type="dxa"/>
          </w:tcPr>
          <w:p>
            <w:pPr>
              <w:spacing w:after="0"/>
            </w:pPr>
            <w:r>
              <w:rPr>
                <w:sz w:val="18"/>
              </w:rPr>
              <w:t xml:space="preserve">41.09</w:t>
            </w:r>
          </w:p>
        </w:tc>
      </w:tr>
      <w:tr>
        <w:tc>
          <w:tcPr>
            <w:tcW w:w="1780" w:type="dxa"/>
          </w:tcPr>
          <w:p>
            <w:pPr>
              <w:spacing w:after="0"/>
            </w:pPr>
            <w:r>
              <w:rPr>
                <w:sz w:val="18"/>
              </w:rPr>
              <w:t xml:space="preserve">2.3 (ext.)</w:t>
            </w:r>
          </w:p>
        </w:tc>
        <w:tc>
          <w:tcPr>
            <w:tcW w:w="1780" w:type="dxa"/>
          </w:tcPr>
          <w:p>
            <w:pPr>
              <w:spacing w:after="0"/>
            </w:pPr>
            <w:r>
              <w:rPr>
                <w:sz w:val="18"/>
              </w:rPr>
              <w:t xml:space="preserve">DCGAN</w:t>
            </w:r>
          </w:p>
        </w:tc>
        <w:tc>
          <w:tcPr>
            <w:tcW w:w="1780" w:type="dxa"/>
          </w:tcPr>
          <w:p>
            <w:pPr>
              <w:spacing w:after="0"/>
            </w:pPr>
            <w:r>
              <w:rPr>
                <w:sz w:val="18"/>
              </w:rPr>
              <w:t xml:space="preserve">QuickDraw house</w:t>
            </w:r>
          </w:p>
        </w:tc>
        <w:tc>
          <w:tcPr>
            <w:tcW w:w="1780" w:type="dxa"/>
          </w:tcPr>
          <w:p>
            <w:pPr>
              <w:spacing w:after="0"/>
            </w:pPr>
            <w:r>
              <w:rPr>
                <w:sz w:val="18"/>
              </w:rPr>
              <w:t xml:space="preserve">FID</w:t>
            </w:r>
          </w:p>
        </w:tc>
        <w:tc>
          <w:tcPr>
            <w:tcW w:w="1780" w:type="dxa"/>
          </w:tcPr>
          <w:p>
            <w:pPr>
              <w:spacing w:after="0"/>
            </w:pPr>
            <w:r>
              <w:rPr>
                <w:sz w:val="18"/>
              </w:rPr>
              <w:t xml:space="preserve">24.75</w:t>
            </w:r>
          </w:p>
        </w:tc>
      </w:tr>
      <w:tr>
        <w:tc>
          <w:tcPr>
            <w:tcW w:w="1780" w:type="dxa"/>
          </w:tcPr>
          <w:p>
            <w:pPr>
              <w:spacing w:after="0"/>
            </w:pPr>
            <w:r>
              <w:rPr>
                <w:sz w:val="18"/>
              </w:rPr>
              <w:t xml:space="preserve">2.2</w:t>
            </w:r>
          </w:p>
        </w:tc>
        <w:tc>
          <w:tcPr>
            <w:tcW w:w="1780" w:type="dxa"/>
          </w:tcPr>
          <w:p>
            <w:pPr>
              <w:spacing w:after="0"/>
            </w:pPr>
            <w:r>
              <w:rPr>
                <w:sz w:val="18"/>
              </w:rPr>
              <w:t xml:space="preserve">MLP GAN</w:t>
            </w:r>
          </w:p>
        </w:tc>
        <w:tc>
          <w:tcPr>
            <w:tcW w:w="1780" w:type="dxa"/>
          </w:tcPr>
          <w:p>
            <w:pPr>
              <w:spacing w:after="0"/>
            </w:pPr>
            <w:r>
              <w:rPr>
                <w:sz w:val="18"/>
              </w:rPr>
              <w:t xml:space="preserve">CICIDS Wednesday (DoS)</w:t>
            </w:r>
          </w:p>
        </w:tc>
        <w:tc>
          <w:tcPr>
            <w:tcW w:w="1780" w:type="dxa"/>
          </w:tcPr>
          <w:p>
            <w:pPr>
              <w:spacing w:after="0"/>
            </w:pPr>
            <w:r>
              <w:rPr>
                <w:sz w:val="18"/>
              </w:rPr>
              <w:t xml:space="preserve">mean-gap / std-gap</w:t>
            </w:r>
          </w:p>
        </w:tc>
        <w:tc>
          <w:tcPr>
            <w:tcW w:w="1780" w:type="dxa"/>
          </w:tcPr>
          <w:p>
            <w:pPr>
              <w:spacing w:after="0"/>
            </w:pPr>
            <w:r>
              <w:rPr>
                <w:sz w:val="18"/>
              </w:rPr>
              <w:t xml:space="preserve">0.0723 / 0.3179</w:t>
            </w:r>
          </w:p>
        </w:tc>
      </w:tr>
      <w:tr>
        <w:tc>
          <w:tcPr>
            <w:tcW w:w="1780" w:type="dxa"/>
          </w:tcPr>
          <w:p>
            <w:pPr>
              <w:spacing w:after="0"/>
            </w:pPr>
            <w:r>
              <w:rPr>
                <w:sz w:val="18"/>
              </w:rPr>
              <w:t xml:space="preserve">2.2 (ext.)</w:t>
            </w:r>
          </w:p>
        </w:tc>
        <w:tc>
          <w:tcPr>
            <w:tcW w:w="1780" w:type="dxa"/>
          </w:tcPr>
          <w:p>
            <w:pPr>
              <w:spacing w:after="0"/>
            </w:pPr>
            <w:r>
              <w:rPr>
                <w:sz w:val="18"/>
              </w:rPr>
              <w:t xml:space="preserve">MLP GAN</w:t>
            </w:r>
          </w:p>
        </w:tc>
        <w:tc>
          <w:tcPr>
            <w:tcW w:w="1780" w:type="dxa"/>
          </w:tcPr>
          <w:p>
            <w:pPr>
              <w:spacing w:after="0"/>
            </w:pPr>
            <w:r>
              <w:rPr>
                <w:sz w:val="18"/>
              </w:rPr>
              <w:t xml:space="preserve">CICIDS all days</w:t>
            </w:r>
          </w:p>
        </w:tc>
        <w:tc>
          <w:tcPr>
            <w:tcW w:w="1780" w:type="dxa"/>
          </w:tcPr>
          <w:p>
            <w:pPr>
              <w:spacing w:after="0"/>
            </w:pPr>
            <w:r>
              <w:rPr>
                <w:sz w:val="18"/>
              </w:rPr>
              <w:t xml:space="preserve">mean-gap / std-gap</w:t>
            </w:r>
          </w:p>
        </w:tc>
        <w:tc>
          <w:tcPr>
            <w:tcW w:w="1780" w:type="dxa"/>
          </w:tcPr>
          <w:p>
            <w:pPr>
              <w:spacing w:after="0"/>
            </w:pPr>
            <w:r>
              <w:rPr>
                <w:sz w:val="18"/>
              </w:rPr>
              <w:t xml:space="preserve">0.1141 / 0.3544</w:t>
            </w:r>
          </w:p>
        </w:tc>
      </w:tr>
    </w:tbl>
    <w:p>
      <w:pPr>
        <w:jc w:val="center"/>
        <w:spacing w:before="80" w:after="160"/>
        <w:rPr>
          <w:i/>
          <w:sz w:val="18"/>
        </w:rPr>
      </w:pPr>
      <w:r>
        <w:rPr>
          <w:i/>
          <w:sz w:val="18"/>
        </w:rPr>
        <w:t xml:space="preserve">Table 1. Consolidated results across all experiments (metrics as computed in the notebook).</w:t>
      </w:r>
    </w:p>
    <w:p>
      <w:pPr>
        <w:spacing w:after="140"/>
        <w:jc w:val="both"/>
      </w:pPr>
      <w:r>
        <w:rPr/>
        <w:t xml:space="preserve">Across the four experiments the pattern is consistent. Once stabilised, the GANs reproduce the dominant structure of a distribution and avoid mode collapse, but lose the tails and fine detail: thinning at the sine and spiral peaks, blur in the OCT scans at FID 66.83, collapsed variance on the binary flags (a standard-deviation gap of 0.3179 widening to 0.3544 across all days), and broken sketch strokes. Two results stand out: the multi-day cybersecurity GAN generalised worse than the single-day model, and structural variety predicted creative-task difficulty better than ink density. The recurring duck-test hazard means none of this synthetic data should be trusted downstream without validation.</w:t>
      </w:r>
    </w:p>
    <w:p>
      <w:pPr>
        <w:spacing w:after="140"/>
        <w:jc w:val="both"/>
      </w:pPr>
      <w:r>
        <w:rPr/>
        <w:t xml:space="preserve">Several extensions would help. A Wasserstein objective with gradient penalty would give smoother gradients and better tail coverage. Class-conditional models, or one per attack family, would address the multi-attack failure. A mixed discrete and continuous design in the style of CTGAN would target the flag-feature collapse. Finally, a domain-appropriate FID extractor would make the medical metric more meaningful.</w:t>
      </w:r>
    </w:p>
    <w:p>
      <w:pPr>
        <w:pStyle w:val="Heading1"/>
      </w:pPr>
      <w:r>
        <w:rPr/>
        <w:t xml:space="preserve">7. References</w:t>
      </w:r>
    </w:p>
    <w:p>
      <w:pPr>
        <w:spacing w:after="80"/>
      </w:pPr>
      <w:r>
        <w:rPr>
          <w:sz w:val="20"/>
        </w:rPr>
        <w:t xml:space="preserve">Goodfellow, I., Pouget-Abadie, J., Mirza, M., Xu, B., Warde-Farley, D., Ozair, S., Courville, A. and Bengio, Y. (2014) 'Generative adversarial nets', Advances in Neural Information Processing Systems, 27, pp. 2672-2680.</w:t>
      </w:r>
    </w:p>
    <w:p>
      <w:pPr>
        <w:spacing w:after="80"/>
      </w:pPr>
      <w:r>
        <w:rPr>
          <w:sz w:val="20"/>
        </w:rPr>
        <w:t xml:space="preserve">Ha, D. and Eck, D. (2018) 'A neural representation of sketch drawings', International Conference on Learning Representations (ICLR). (The Quick, Draw! Dataset, Google Creative Lab: https://github.com/googlecreativelab/quickdraw-dataset)</w:t>
      </w:r>
    </w:p>
    <w:p>
      <w:pPr>
        <w:spacing w:after="80"/>
      </w:pPr>
      <w:r>
        <w:rPr>
          <w:sz w:val="20"/>
        </w:rPr>
        <w:t xml:space="preserve">Heusel, M., Ramsauer, H., Unterthiner, T., Nessler, B. and Hochreiter, S. (2017) 'GANs trained by a two time-scale update rule converge to a local Nash equilibrium', Advances in Neural Information Processing Systems, 30, pp. 6626-6637.</w:t>
      </w:r>
    </w:p>
    <w:p>
      <w:pPr>
        <w:spacing w:after="80"/>
      </w:pPr>
      <w:r>
        <w:rPr>
          <w:sz w:val="20"/>
        </w:rPr>
        <w:t xml:space="preserve">Ioffe, S. and Szegedy, C. (2015) 'Batch normalization: accelerating deep network training by reducing internal covariate shift', International Conference on Machine Learning (ICML), pp. 448-456.</w:t>
      </w:r>
    </w:p>
    <w:p>
      <w:pPr>
        <w:spacing w:after="80"/>
      </w:pPr>
      <w:r>
        <w:rPr>
          <w:sz w:val="20"/>
        </w:rPr>
        <w:t xml:space="preserve">Jolliffe, I.T. (2002) Principal Component Analysis. 2nd edn. New York: Springer.</w:t>
      </w:r>
    </w:p>
    <w:p>
      <w:pPr>
        <w:spacing w:after="80"/>
      </w:pPr>
      <w:r>
        <w:rPr>
          <w:sz w:val="20"/>
        </w:rPr>
        <w:t xml:space="preserve">Kingma, D.P. and Ba, J. (2015) 'Adam: a method for stochastic optimization', International Conference on Learning Representations (ICLR).</w:t>
      </w:r>
    </w:p>
    <w:p>
      <w:pPr>
        <w:spacing w:after="80"/>
      </w:pPr>
      <w:r>
        <w:rPr>
          <w:sz w:val="20"/>
        </w:rPr>
        <w:t xml:space="preserve">Mirza, M. and Osindero, S. (2014) 'Conditional generative adversarial nets', arXiv:1411.1784.</w:t>
      </w:r>
    </w:p>
    <w:p>
      <w:pPr>
        <w:spacing w:after="80"/>
      </w:pPr>
      <w:r>
        <w:rPr>
          <w:sz w:val="20"/>
        </w:rPr>
        <w:t xml:space="preserve">Radford, A., Metz, L. and Chintala, S. (2016) 'Unsupervised representation learning with deep convolutional generative adversarial networks', International Conference on Learning Representations (ICLR).</w:t>
      </w:r>
    </w:p>
    <w:p>
      <w:pPr>
        <w:spacing w:after="80"/>
      </w:pPr>
      <w:r>
        <w:rPr>
          <w:sz w:val="20"/>
        </w:rPr>
        <w:t xml:space="preserve">Salimans, T., Goodfellow, I., Zaremba, W., Cheung, V., Radford, A. and Chen, X. (2016) 'Improved techniques for training GANs', Advances in Neural Information Processing Systems, 29, pp. 2234-2242.</w:t>
      </w:r>
    </w:p>
    <w:p>
      <w:pPr>
        <w:spacing w:after="80"/>
      </w:pPr>
      <w:r>
        <w:rPr>
          <w:sz w:val="20"/>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after="80"/>
      </w:pPr>
      <w:r>
        <w:rPr>
          <w:sz w:val="20"/>
        </w:rPr>
        <w:t xml:space="preserve">Szegedy, C., Vanhoucke, V., Ioffe, S., Shlens, J. and Wojna, Z. (2016) 'Rethinking the Inception architecture for computer vision', IEEE Conference on Computer Vision and Pattern Recognition (CVPR), pp. 2818-2826.</w:t>
      </w:r>
    </w:p>
    <w:p>
      <w:pPr>
        <w:spacing w:after="80"/>
      </w:pPr>
      <w:r>
        <w:rPr>
          <w:sz w:val="20"/>
        </w:rPr>
        <w:t xml:space="preserve">van der Maaten, L. and Hinton, G. (2008) 'Visualizing data using t-SNE', Journal of Machine Learning Research, 9, pp. 2579-2605.</w:t>
      </w:r>
    </w:p>
    <w:p>
      <w:pPr>
        <w:spacing w:after="80"/>
      </w:pPr>
      <w:r>
        <w:rPr>
          <w:sz w:val="20"/>
        </w:rPr>
        <w:t xml:space="preserve">Yang, J., Shi, R., Wei, D., Liu, Z., Zhao, L., Ke, B., Pfister, H. and Ni, B. (2023) 'MedMNIST v2 - a large-scale lightweight benchmark for 2D and 3D biomedical image classification', Scientific Data, 10(1), 41. (OCTMNIST; https://medmnist.com/)</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default="1" w:styleId="Normal">
    <w:name w:val="Normal"/>
  </w:style>
  <w:style w:type="paragraph" w:styleId="Title">
    <w:name w:val="Title"/>
    <w:pPr>
      <w:jc w:val="center"/>
      <w:spacing w:before="120" w:after="120"/>
    </w:pPr>
    <w:rPr>
      <w:b/>
      <w:sz w:val="36"/>
    </w:rPr>
  </w:style>
  <w:style w:type="paragraph" w:styleId="Heading1">
    <w:name w:val="heading 1"/>
    <w:pPr>
      <w:spacing w:before="300" w:after="120"/>
      <w:outlineLvl w:val="0"/>
    </w:pPr>
    <w:rPr>
      <w:b/>
      <w:sz w:val="28"/>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s>
</file>