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7F758" w14:textId="77777777" w:rsidR="004772C6" w:rsidRPr="00CB69DF" w:rsidRDefault="00000000" w:rsidP="00CB69DF">
      <w:pPr>
        <w:spacing w:before="120" w:after="200"/>
        <w:jc w:val="center"/>
        <w:rPr>
          <w:rFonts w:ascii="Times New Roman" w:hAnsi="Times New Roman" w:cs="Times New Roman"/>
          <w:sz w:val="32"/>
          <w:szCs w:val="32"/>
        </w:rPr>
      </w:pPr>
      <w:r w:rsidRPr="00CB69DF">
        <w:rPr>
          <w:rFonts w:ascii="Times New Roman" w:hAnsi="Times New Roman" w:cs="Times New Roman"/>
          <w:b/>
          <w:sz w:val="32"/>
          <w:szCs w:val="32"/>
        </w:rPr>
        <w:t>Generative Adversarial Networks: From Synthetic 2D Data to Medical, Cybersecurity and Creative Applications</w:t>
      </w:r>
    </w:p>
    <w:p w14:paraId="4363742A" w14:textId="131D917A" w:rsidR="00CB69DF" w:rsidRDefault="00CB69DF" w:rsidP="00CB69DF">
      <w:pPr>
        <w:spacing w:before="240" w:after="100"/>
        <w:jc w:val="both"/>
        <w:rPr>
          <w:rFonts w:ascii="Times New Roman" w:hAnsi="Times New Roman" w:cs="Times New Roman"/>
          <w:b/>
        </w:rPr>
      </w:pPr>
      <w:r>
        <w:rPr>
          <w:rFonts w:ascii="Times New Roman" w:hAnsi="Times New Roman" w:cs="Times New Roman"/>
          <w:b/>
        </w:rPr>
        <w:t xml:space="preserve">Student Name: </w:t>
      </w:r>
    </w:p>
    <w:p w14:paraId="174265A2" w14:textId="38F6D73C" w:rsidR="00CB69DF" w:rsidRDefault="00CB69DF" w:rsidP="00CB69DF">
      <w:pPr>
        <w:spacing w:before="240" w:after="100"/>
        <w:jc w:val="both"/>
        <w:rPr>
          <w:rFonts w:ascii="Times New Roman" w:hAnsi="Times New Roman" w:cs="Times New Roman"/>
          <w:b/>
        </w:rPr>
      </w:pPr>
      <w:r>
        <w:rPr>
          <w:rFonts w:ascii="Times New Roman" w:hAnsi="Times New Roman" w:cs="Times New Roman"/>
          <w:b/>
        </w:rPr>
        <w:t>Student ID:</w:t>
      </w:r>
    </w:p>
    <w:p w14:paraId="11233665" w14:textId="727B2111" w:rsidR="00CB69DF" w:rsidRDefault="00CB69DF" w:rsidP="00CB69DF">
      <w:pPr>
        <w:spacing w:before="240" w:after="100"/>
        <w:jc w:val="both"/>
        <w:rPr>
          <w:rFonts w:ascii="Times New Roman" w:hAnsi="Times New Roman" w:cs="Times New Roman"/>
          <w:b/>
        </w:rPr>
      </w:pPr>
      <w:r>
        <w:rPr>
          <w:rFonts w:ascii="Times New Roman" w:hAnsi="Times New Roman" w:cs="Times New Roman"/>
          <w:b/>
        </w:rPr>
        <w:t>Github URL: https://github.com/nithinreddy2003/GAN_Assignments</w:t>
      </w:r>
    </w:p>
    <w:p w14:paraId="0B0CC047" w14:textId="77777777" w:rsidR="00CB69DF" w:rsidRDefault="00CB69DF" w:rsidP="00CB69DF">
      <w:pPr>
        <w:spacing w:before="240" w:after="100"/>
        <w:jc w:val="both"/>
        <w:rPr>
          <w:rFonts w:ascii="Times New Roman" w:hAnsi="Times New Roman" w:cs="Times New Roman"/>
          <w:b/>
        </w:rPr>
      </w:pPr>
    </w:p>
    <w:p w14:paraId="1A18BA05" w14:textId="6049D211" w:rsidR="004772C6" w:rsidRPr="00CB69DF" w:rsidRDefault="00000000" w:rsidP="00CB69DF">
      <w:pPr>
        <w:spacing w:before="240" w:after="100"/>
        <w:jc w:val="both"/>
        <w:rPr>
          <w:rFonts w:ascii="Times New Roman" w:hAnsi="Times New Roman" w:cs="Times New Roman"/>
        </w:rPr>
      </w:pPr>
      <w:r w:rsidRPr="00CB69DF">
        <w:rPr>
          <w:rFonts w:ascii="Times New Roman" w:hAnsi="Times New Roman" w:cs="Times New Roman"/>
          <w:b/>
        </w:rPr>
        <w:t>1. Introduction</w:t>
      </w:r>
    </w:p>
    <w:p w14:paraId="41A51D7F" w14:textId="77777777" w:rsidR="004772C6" w:rsidRPr="00CB69DF" w:rsidRDefault="00000000" w:rsidP="00CB69DF">
      <w:pPr>
        <w:spacing w:before="120" w:after="120"/>
        <w:jc w:val="both"/>
        <w:rPr>
          <w:rFonts w:ascii="Times New Roman" w:hAnsi="Times New Roman" w:cs="Times New Roman"/>
          <w:sz w:val="20"/>
          <w:szCs w:val="20"/>
        </w:rPr>
      </w:pPr>
      <w:r w:rsidRPr="00CB69DF">
        <w:rPr>
          <w:rFonts w:ascii="Times New Roman" w:hAnsi="Times New Roman" w:cs="Times New Roman"/>
          <w:sz w:val="20"/>
          <w:szCs w:val="20"/>
        </w:rPr>
        <w:t xml:space="preserve">This report documents building generative adversarial networks (GANs) from scratch and applying them to three real-world problems. A GAN pairs a generator that maps noise to samples against a discriminator that separates real from generated data; trained together in a minimax game, the generated distribution should eventually match the real one (Goodfellow et al., 2014). Part 1 reinforces the mechanics on controllable 2D data where success is judged by eye. Part 2 moves to harder data in medicine (OCTMNIST), cybersecurity (CICIDS 2017) and creative sketching (QuickDraw). My focus throughout is interpreting </w:t>
      </w:r>
      <w:r w:rsidRPr="00CB69DF">
        <w:rPr>
          <w:rFonts w:ascii="Times New Roman" w:hAnsi="Times New Roman" w:cs="Times New Roman"/>
          <w:i/>
          <w:sz w:val="20"/>
          <w:szCs w:val="20"/>
        </w:rPr>
        <w:t>why</w:t>
      </w:r>
      <w:r w:rsidRPr="00CB69DF">
        <w:rPr>
          <w:rFonts w:ascii="Times New Roman" w:hAnsi="Times New Roman" w:cs="Times New Roman"/>
          <w:sz w:val="20"/>
          <w:szCs w:val="20"/>
        </w:rPr>
        <w:t xml:space="preserve"> an architecture suits each dataset and what the loss curves, projections and Fréchet Inception Distance (FID) scores reveal about sample quality. Every figure and number below comes directly from the notebook, and a fixed seed (42) is re-applied before each run for reproducibility.</w:t>
      </w:r>
    </w:p>
    <w:p w14:paraId="76695625" w14:textId="77777777" w:rsidR="004772C6" w:rsidRPr="00CB69DF" w:rsidRDefault="00000000" w:rsidP="00CB69DF">
      <w:pPr>
        <w:spacing w:before="240" w:after="100"/>
        <w:jc w:val="both"/>
        <w:rPr>
          <w:rFonts w:ascii="Times New Roman" w:hAnsi="Times New Roman" w:cs="Times New Roman"/>
        </w:rPr>
      </w:pPr>
      <w:r w:rsidRPr="00CB69DF">
        <w:rPr>
          <w:rFonts w:ascii="Times New Roman" w:hAnsi="Times New Roman" w:cs="Times New Roman"/>
          <w:b/>
        </w:rPr>
        <w:t>Part 1: building and understanding GANs from scratch</w:t>
      </w:r>
    </w:p>
    <w:p w14:paraId="421AAE72" w14:textId="77777777" w:rsidR="004772C6" w:rsidRPr="00CB69DF" w:rsidRDefault="00000000" w:rsidP="00CB69DF">
      <w:pPr>
        <w:spacing w:before="120" w:after="120"/>
        <w:jc w:val="both"/>
        <w:rPr>
          <w:rFonts w:ascii="Times New Roman" w:hAnsi="Times New Roman" w:cs="Times New Roman"/>
          <w:sz w:val="20"/>
          <w:szCs w:val="20"/>
        </w:rPr>
      </w:pPr>
      <w:r w:rsidRPr="00CB69DF">
        <w:rPr>
          <w:rFonts w:ascii="Times New Roman" w:hAnsi="Times New Roman" w:cs="Times New Roman"/>
          <w:sz w:val="20"/>
          <w:szCs w:val="20"/>
        </w:rPr>
        <w:t>The generator and discriminator are small multi-layer perceptrons (MLPs) built by one configurable factory, so Task 3's architecture change reuses the same training loop. Training uses the non-saturating objective through BCEWithLogitsLoss, which avoids the early vanishing gradients of the original minimax loss (Goodfellow et al., 2014), optimised with Adam. MLPs suit this data because 2D coordinates have no spatial grid for a convolution to exploit.</w:t>
      </w:r>
    </w:p>
    <w:p w14:paraId="14A31F90" w14:textId="77777777" w:rsidR="004772C6" w:rsidRPr="00CB69DF" w:rsidRDefault="00000000" w:rsidP="00CB69DF">
      <w:pPr>
        <w:spacing w:before="200" w:after="80"/>
        <w:jc w:val="both"/>
        <w:rPr>
          <w:rFonts w:ascii="Times New Roman" w:hAnsi="Times New Roman" w:cs="Times New Roman"/>
        </w:rPr>
      </w:pPr>
      <w:r w:rsidRPr="00CB69DF">
        <w:rPr>
          <w:rFonts w:ascii="Times New Roman" w:hAnsi="Times New Roman" w:cs="Times New Roman"/>
          <w:b/>
        </w:rPr>
        <w:t>Task 1: reproduce the sine-wave GAN</w:t>
      </w:r>
    </w:p>
    <w:p w14:paraId="50FE8A1D" w14:textId="77777777" w:rsidR="004772C6" w:rsidRPr="00CB69DF" w:rsidRDefault="00000000" w:rsidP="00CB69DF">
      <w:pPr>
        <w:spacing w:before="120" w:after="120"/>
        <w:jc w:val="both"/>
        <w:rPr>
          <w:rFonts w:ascii="Times New Roman" w:hAnsi="Times New Roman" w:cs="Times New Roman"/>
        </w:rPr>
      </w:pPr>
      <w:r w:rsidRPr="00CB69DF">
        <w:rPr>
          <w:rFonts w:ascii="Times New Roman" w:hAnsi="Times New Roman" w:cs="Times New Roman"/>
          <w:sz w:val="22"/>
          <w:szCs w:val="22"/>
        </w:rPr>
        <w:t>The baseline is a 16-d latent vector feeding a width-128, depth-2 ReLU network, trained for 6,000 steps against y = sin(x) on [-π, π], mainly as a sanity check on the shared code.</w:t>
      </w:r>
    </w:p>
    <w:p w14:paraId="50055A38" w14:textId="77777777" w:rsidR="004772C6" w:rsidRPr="00CB69DF" w:rsidRDefault="00000000" w:rsidP="00CB69DF">
      <w:pPr>
        <w:spacing w:before="120" w:after="120"/>
        <w:jc w:val="center"/>
        <w:rPr>
          <w:rFonts w:ascii="Times New Roman" w:hAnsi="Times New Roman" w:cs="Times New Roman"/>
        </w:rPr>
      </w:pPr>
      <w:r w:rsidRPr="00CB69DF">
        <w:rPr>
          <w:rFonts w:ascii="Times New Roman" w:hAnsi="Times New Roman" w:cs="Times New Roman"/>
          <w:noProof/>
        </w:rPr>
        <w:drawing>
          <wp:inline distT="0" distB="0" distL="0" distR="0" wp14:anchorId="76E88F78" wp14:editId="4A31C9C5">
            <wp:extent cx="2150266" cy="2194560"/>
            <wp:effectExtent l="0" t="0" r="0" b="0"/>
            <wp:docPr id="10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png"/>
                    <pic:cNvPicPr/>
                  </pic:nvPicPr>
                  <pic:blipFill>
                    <a:blip r:embed="rId4"/>
                    <a:stretch>
                      <a:fillRect/>
                    </a:stretch>
                  </pic:blipFill>
                  <pic:spPr>
                    <a:xfrm>
                      <a:off x="0" y="0"/>
                      <a:ext cx="2150266" cy="2194560"/>
                    </a:xfrm>
                    <a:prstGeom prst="rect">
                      <a:avLst/>
                    </a:prstGeom>
                  </pic:spPr>
                </pic:pic>
              </a:graphicData>
            </a:graphic>
          </wp:inline>
        </w:drawing>
      </w:r>
    </w:p>
    <w:p w14:paraId="7862EE75" w14:textId="77777777" w:rsidR="004772C6" w:rsidRPr="00CB69DF" w:rsidRDefault="00000000" w:rsidP="00CB69DF">
      <w:pPr>
        <w:spacing w:before="40" w:after="200"/>
        <w:jc w:val="center"/>
        <w:rPr>
          <w:rFonts w:ascii="Times New Roman" w:hAnsi="Times New Roman" w:cs="Times New Roman"/>
          <w:b/>
          <w:i/>
          <w:iCs/>
        </w:rPr>
      </w:pPr>
      <w:r w:rsidRPr="00CB69DF">
        <w:rPr>
          <w:rFonts w:ascii="Times New Roman" w:hAnsi="Times New Roman" w:cs="Times New Roman"/>
          <w:b/>
          <w:i/>
          <w:iCs/>
          <w:sz w:val="18"/>
          <w:szCs w:val="18"/>
        </w:rPr>
        <w:t>Figure 1. Real versus generated samples for the sine-wave GAN.</w:t>
      </w:r>
    </w:p>
    <w:p w14:paraId="0662EFB9" w14:textId="77777777" w:rsidR="004772C6" w:rsidRPr="00CB69DF" w:rsidRDefault="00000000" w:rsidP="00CB69DF">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Figure 1 shows generated points lying along the true curve, with only minor scatter near the turning points where the nonlinearity is greatest. The losses settle at equilibrium and hold, with the discriminator around 1.38 and the generator around 0.70 (final D=1.3778, G=0.6964). A discriminator loss near 2*ln(2), about 1.386, signals a balanced game in which it can no longer separate real from fake, so the pipeline behaves as intended.</w:t>
      </w:r>
    </w:p>
    <w:p w14:paraId="1C93515E" w14:textId="77777777" w:rsidR="004772C6" w:rsidRPr="00CB69DF" w:rsidRDefault="00000000" w:rsidP="00CB69DF">
      <w:pPr>
        <w:spacing w:before="200" w:after="80"/>
        <w:jc w:val="both"/>
        <w:rPr>
          <w:rFonts w:ascii="Times New Roman" w:hAnsi="Times New Roman" w:cs="Times New Roman"/>
        </w:rPr>
      </w:pPr>
      <w:r w:rsidRPr="00CB69DF">
        <w:rPr>
          <w:rFonts w:ascii="Times New Roman" w:hAnsi="Times New Roman" w:cs="Times New Roman"/>
          <w:b/>
        </w:rPr>
        <w:t>Task 2 and Task 3: a new 2D distribution and an architecture change</w:t>
      </w:r>
    </w:p>
    <w:p w14:paraId="5AA54FB9" w14:textId="77777777" w:rsidR="004772C6" w:rsidRPr="00CB69DF" w:rsidRDefault="00000000" w:rsidP="00CB69DF">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For the new distribution I chose a mixture of Gaussians: eight isotropic modes on a ring of radius 2.0 with per-mode standard deviation 0.05, trained for 8,000 steps. A ring of well-separated modes is the standard probe for mode collapse, since a collapsed generator would cover only some of the eight blobs. Task 3 then changes only the network, moving from the 2x128 ReLU baseline to a deeper, wider 4x256 network with the self-normalising SELU activation (Klambauer et al., 2017), which keeps activations well-scaled in deeper stacks.</w:t>
      </w:r>
    </w:p>
    <w:p w14:paraId="12F05E7A" w14:textId="77777777" w:rsidR="004772C6" w:rsidRPr="00CB69DF" w:rsidRDefault="00000000" w:rsidP="00CB69DF">
      <w:pPr>
        <w:spacing w:before="120" w:after="120"/>
        <w:jc w:val="center"/>
        <w:rPr>
          <w:rFonts w:ascii="Times New Roman" w:hAnsi="Times New Roman" w:cs="Times New Roman"/>
          <w:sz w:val="20"/>
          <w:szCs w:val="20"/>
        </w:rPr>
      </w:pPr>
      <w:r w:rsidRPr="00CB69DF">
        <w:rPr>
          <w:rFonts w:ascii="Times New Roman" w:hAnsi="Times New Roman" w:cs="Times New Roman"/>
          <w:noProof/>
          <w:sz w:val="20"/>
          <w:szCs w:val="20"/>
        </w:rPr>
        <w:drawing>
          <wp:inline distT="0" distB="0" distL="0" distR="0" wp14:anchorId="4A3F2372" wp14:editId="09D91759">
            <wp:extent cx="4105575" cy="2194560"/>
            <wp:effectExtent l="0" t="0" r="0" b="0"/>
            <wp:docPr id="10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png"/>
                    <pic:cNvPicPr/>
                  </pic:nvPicPr>
                  <pic:blipFill>
                    <a:blip r:embed="rId5"/>
                    <a:stretch>
                      <a:fillRect/>
                    </a:stretch>
                  </pic:blipFill>
                  <pic:spPr>
                    <a:xfrm>
                      <a:off x="0" y="0"/>
                      <a:ext cx="4105575" cy="2194560"/>
                    </a:xfrm>
                    <a:prstGeom prst="rect">
                      <a:avLst/>
                    </a:prstGeom>
                  </pic:spPr>
                </pic:pic>
              </a:graphicData>
            </a:graphic>
          </wp:inline>
        </w:drawing>
      </w:r>
    </w:p>
    <w:p w14:paraId="2A6521DF" w14:textId="77777777" w:rsidR="004772C6" w:rsidRPr="00CB69DF" w:rsidRDefault="00000000" w:rsidP="00CB69DF">
      <w:pPr>
        <w:spacing w:before="40" w:after="200"/>
        <w:jc w:val="center"/>
        <w:rPr>
          <w:rFonts w:ascii="Times New Roman" w:hAnsi="Times New Roman" w:cs="Times New Roman"/>
          <w:b/>
          <w:i/>
          <w:iCs/>
          <w:sz w:val="20"/>
          <w:szCs w:val="20"/>
        </w:rPr>
      </w:pPr>
      <w:r w:rsidRPr="00CB69DF">
        <w:rPr>
          <w:rFonts w:ascii="Times New Roman" w:hAnsi="Times New Roman" w:cs="Times New Roman"/>
          <w:b/>
          <w:i/>
          <w:iCs/>
          <w:sz w:val="20"/>
          <w:szCs w:val="20"/>
        </w:rPr>
        <w:t>Figure 2. Architecture comparison on the mixture of Gaussians.</w:t>
      </w:r>
    </w:p>
    <w:p w14:paraId="04D140A8" w14:textId="77777777" w:rsidR="004772C6" w:rsidRPr="00CB69DF" w:rsidRDefault="00000000" w:rsidP="00CB69DF">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Figure 2 captures both tasks at once. The baseline (left) reaches all eight modes, so there is no hard mode collapse, but the red cloud is loose and fills the gaps between blobs instead of sitting on the centres, the classic 'covers the modes but not sharply' behaviour of a small vanilla GAN. The enhanced network (right) tightens the samples onto the mode centres and traces a clean ring. Losses stay stable in both cases (enhanced ends at D=1.4444, G=0.8657), so the extra depth, width and smoother activation buy sample sharpness, not a fix for a collapse that never occurred. For this target, capacity and activation control sharpness while coverage was already fine.</w:t>
      </w:r>
    </w:p>
    <w:p w14:paraId="6AAA1BEF" w14:textId="77777777" w:rsidR="004772C6" w:rsidRPr="00CB69DF" w:rsidRDefault="00000000" w:rsidP="00CB69DF">
      <w:pPr>
        <w:spacing w:before="240" w:after="100"/>
        <w:jc w:val="both"/>
        <w:rPr>
          <w:rFonts w:ascii="Times New Roman" w:hAnsi="Times New Roman" w:cs="Times New Roman"/>
        </w:rPr>
      </w:pPr>
      <w:r w:rsidRPr="00CB69DF">
        <w:rPr>
          <w:rFonts w:ascii="Times New Roman" w:hAnsi="Times New Roman" w:cs="Times New Roman"/>
          <w:b/>
        </w:rPr>
        <w:t>Part 2: real-world GAN applications</w:t>
      </w:r>
    </w:p>
    <w:p w14:paraId="1AFE94CA" w14:textId="77777777" w:rsidR="004772C6" w:rsidRPr="00CB69DF" w:rsidRDefault="00000000" w:rsidP="00CB69DF">
      <w:pPr>
        <w:spacing w:before="200" w:after="80"/>
        <w:jc w:val="both"/>
        <w:rPr>
          <w:rFonts w:ascii="Times New Roman" w:hAnsi="Times New Roman" w:cs="Times New Roman"/>
        </w:rPr>
      </w:pPr>
      <w:r w:rsidRPr="00CB69DF">
        <w:rPr>
          <w:rFonts w:ascii="Times New Roman" w:hAnsi="Times New Roman" w:cs="Times New Roman"/>
          <w:b/>
        </w:rPr>
        <w:t>Part 2.1: Optical coherence tomography (OCT) retinal images with MedMNIST</w:t>
      </w:r>
    </w:p>
    <w:p w14:paraId="339ED19D" w14:textId="77777777" w:rsidR="004772C6" w:rsidRPr="00CB69DF" w:rsidRDefault="00000000" w:rsidP="00CB69DF">
      <w:pPr>
        <w:spacing w:before="120" w:after="120"/>
        <w:jc w:val="both"/>
        <w:rPr>
          <w:rFonts w:ascii="Times New Roman" w:hAnsi="Times New Roman" w:cs="Times New Roman"/>
          <w:sz w:val="20"/>
          <w:szCs w:val="20"/>
        </w:rPr>
      </w:pPr>
      <w:r w:rsidRPr="00CB69DF">
        <w:rPr>
          <w:rFonts w:ascii="Times New Roman" w:hAnsi="Times New Roman" w:cs="Times New Roman"/>
          <w:sz w:val="20"/>
          <w:szCs w:val="20"/>
        </w:rPr>
        <w:t>OCTMNIST is a MedMNIST subset of 28×28 greyscale retinal OCT scans in four diagnostic classes (Yang et al., 2023). I train a DCGAN, which suits images because it replaces dense layers with strided and transposed convolutions, adds BatchNorm and LeakyReLU/ReLU activations, and uses a weight-init recipe shown to stabilise image GANs (Radford et al., 2015). Images are worked at 32×32 (a clean power of two for the four conv stages) and scaled to [-1, 1] to match the generator's Tanh.</w:t>
      </w:r>
    </w:p>
    <w:p w14:paraId="6EDC51C5" w14:textId="77777777" w:rsidR="004772C6" w:rsidRDefault="00000000" w:rsidP="00CB69DF">
      <w:pPr>
        <w:spacing w:before="120" w:after="120"/>
        <w:jc w:val="center"/>
        <w:rPr>
          <w:rFonts w:ascii="Times New Roman" w:hAnsi="Times New Roman" w:cs="Times New Roman"/>
          <w:sz w:val="20"/>
          <w:szCs w:val="20"/>
        </w:rPr>
      </w:pPr>
      <w:r w:rsidRPr="00CB69DF">
        <w:rPr>
          <w:rFonts w:ascii="Times New Roman" w:hAnsi="Times New Roman" w:cs="Times New Roman"/>
          <w:noProof/>
          <w:sz w:val="20"/>
          <w:szCs w:val="20"/>
        </w:rPr>
        <w:drawing>
          <wp:inline distT="0" distB="0" distL="0" distR="0" wp14:anchorId="6AE58847" wp14:editId="449068BB">
            <wp:extent cx="3871429" cy="2194560"/>
            <wp:effectExtent l="0" t="0" r="0" b="0"/>
            <wp:docPr id="10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png"/>
                    <pic:cNvPicPr/>
                  </pic:nvPicPr>
                  <pic:blipFill>
                    <a:blip r:embed="rId6"/>
                    <a:stretch>
                      <a:fillRect/>
                    </a:stretch>
                  </pic:blipFill>
                  <pic:spPr>
                    <a:xfrm>
                      <a:off x="0" y="0"/>
                      <a:ext cx="3871429" cy="2194560"/>
                    </a:xfrm>
                    <a:prstGeom prst="rect">
                      <a:avLst/>
                    </a:prstGeom>
                  </pic:spPr>
                </pic:pic>
              </a:graphicData>
            </a:graphic>
          </wp:inline>
        </w:drawing>
      </w:r>
    </w:p>
    <w:p w14:paraId="1539D553" w14:textId="77777777" w:rsidR="004772C6" w:rsidRPr="00CB69DF" w:rsidRDefault="00000000" w:rsidP="00CB69DF">
      <w:pPr>
        <w:spacing w:before="40" w:after="200"/>
        <w:jc w:val="center"/>
        <w:rPr>
          <w:rFonts w:ascii="Times New Roman" w:hAnsi="Times New Roman" w:cs="Times New Roman"/>
          <w:b/>
          <w:i/>
          <w:iCs/>
          <w:sz w:val="20"/>
          <w:szCs w:val="20"/>
        </w:rPr>
      </w:pPr>
      <w:r w:rsidRPr="00CB69DF">
        <w:rPr>
          <w:rFonts w:ascii="Times New Roman" w:hAnsi="Times New Roman" w:cs="Times New Roman"/>
          <w:b/>
          <w:i/>
          <w:iCs/>
          <w:sz w:val="20"/>
          <w:szCs w:val="20"/>
        </w:rPr>
        <w:t>Figure 3. Class distribution of the OCTMNIST training split.</w:t>
      </w:r>
    </w:p>
    <w:p w14:paraId="66B99436" w14:textId="77777777" w:rsidR="004772C6" w:rsidRPr="00CB69DF" w:rsidRDefault="00000000" w:rsidP="00CB69DF">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The data have four classes (choroidal neovascularisation, diabetic macular oedema, drusen, normal) and a training split of shape (97477, 28, 28). Figure 3 shows a marked imbalance of roughly 6:1, which matters for the conditional extension, because without correction the minority classes barely train. The unconditional DCGAN uses a random 40,000-image subset.</w:t>
      </w:r>
    </w:p>
    <w:p w14:paraId="7877CB42" w14:textId="77777777" w:rsidR="004772C6" w:rsidRPr="00CB69DF" w:rsidRDefault="00000000" w:rsidP="00CB69DF">
      <w:pPr>
        <w:spacing w:before="120" w:after="120"/>
        <w:jc w:val="center"/>
        <w:rPr>
          <w:rFonts w:ascii="Times New Roman" w:hAnsi="Times New Roman" w:cs="Times New Roman"/>
          <w:sz w:val="20"/>
          <w:szCs w:val="20"/>
        </w:rPr>
      </w:pPr>
      <w:r w:rsidRPr="00CB69DF">
        <w:rPr>
          <w:rFonts w:ascii="Times New Roman" w:hAnsi="Times New Roman" w:cs="Times New Roman"/>
          <w:noProof/>
          <w:sz w:val="20"/>
          <w:szCs w:val="20"/>
        </w:rPr>
        <w:drawing>
          <wp:inline distT="0" distB="0" distL="0" distR="0" wp14:anchorId="4B8D8194" wp14:editId="1EF1EDB1">
            <wp:extent cx="3805401" cy="2194560"/>
            <wp:effectExtent l="0" t="0" r="0" b="0"/>
            <wp:docPr id="10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png"/>
                    <pic:cNvPicPr/>
                  </pic:nvPicPr>
                  <pic:blipFill>
                    <a:blip r:embed="rId7"/>
                    <a:stretch>
                      <a:fillRect/>
                    </a:stretch>
                  </pic:blipFill>
                  <pic:spPr>
                    <a:xfrm>
                      <a:off x="0" y="0"/>
                      <a:ext cx="3805401" cy="2194560"/>
                    </a:xfrm>
                    <a:prstGeom prst="rect">
                      <a:avLst/>
                    </a:prstGeom>
                  </pic:spPr>
                </pic:pic>
              </a:graphicData>
            </a:graphic>
          </wp:inline>
        </w:drawing>
      </w:r>
    </w:p>
    <w:p w14:paraId="26BD958B" w14:textId="77777777" w:rsidR="004772C6" w:rsidRPr="00CB69DF" w:rsidRDefault="00000000" w:rsidP="00CB69DF">
      <w:pPr>
        <w:spacing w:before="40" w:after="200"/>
        <w:jc w:val="center"/>
        <w:rPr>
          <w:rFonts w:ascii="Times New Roman" w:hAnsi="Times New Roman" w:cs="Times New Roman"/>
          <w:b/>
          <w:i/>
          <w:iCs/>
          <w:sz w:val="20"/>
          <w:szCs w:val="20"/>
        </w:rPr>
      </w:pPr>
      <w:r w:rsidRPr="00CB69DF">
        <w:rPr>
          <w:rFonts w:ascii="Times New Roman" w:hAnsi="Times New Roman" w:cs="Times New Roman"/>
          <w:b/>
          <w:i/>
          <w:iCs/>
          <w:sz w:val="20"/>
          <w:szCs w:val="20"/>
        </w:rPr>
        <w:t>Figure 4. Generator/discriminator losses during OCTMNIST DCGAN training.</w:t>
      </w:r>
    </w:p>
    <w:p w14:paraId="521EC4FF" w14:textId="77777777" w:rsidR="004772C6" w:rsidRPr="00CB69DF" w:rsidRDefault="00000000" w:rsidP="00CB69DF">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Figure 4 tracks 40 epochs. Training starts unbalanced (D=0.39, G=5.35 at epoch 1), with the discriminator dominating, then moves into a closer back-and-forth (D about 0.9 to 1.1, G about 1.3 to 2.6), the healthy shape of a DCGAN that is learning steadily and not collapsing. The occasional spike, for example epoch 19 at D=3.16, is normal adversarial oscillation and not divergence.</w:t>
      </w:r>
    </w:p>
    <w:p w14:paraId="017839C4" w14:textId="77777777" w:rsidR="004772C6" w:rsidRPr="00CB69DF" w:rsidRDefault="00000000" w:rsidP="00CB69DF">
      <w:pPr>
        <w:spacing w:before="120" w:after="120"/>
        <w:jc w:val="center"/>
        <w:rPr>
          <w:rFonts w:ascii="Times New Roman" w:hAnsi="Times New Roman" w:cs="Times New Roman"/>
          <w:sz w:val="20"/>
          <w:szCs w:val="20"/>
        </w:rPr>
      </w:pPr>
      <w:r w:rsidRPr="00CB69DF">
        <w:rPr>
          <w:rFonts w:ascii="Times New Roman" w:hAnsi="Times New Roman" w:cs="Times New Roman"/>
          <w:noProof/>
          <w:sz w:val="20"/>
          <w:szCs w:val="20"/>
        </w:rPr>
        <w:drawing>
          <wp:inline distT="0" distB="0" distL="0" distR="0" wp14:anchorId="362D353B" wp14:editId="4686E771">
            <wp:extent cx="4206240" cy="1846318"/>
            <wp:effectExtent l="0" t="0" r="0" b="0"/>
            <wp:docPr id="10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png"/>
                    <pic:cNvPicPr/>
                  </pic:nvPicPr>
                  <pic:blipFill rotWithShape="1">
                    <a:blip r:embed="rId8"/>
                    <a:srcRect t="35837"/>
                    <a:stretch>
                      <a:fillRect/>
                    </a:stretch>
                  </pic:blipFill>
                  <pic:spPr bwMode="auto">
                    <a:xfrm>
                      <a:off x="0" y="0"/>
                      <a:ext cx="4206240" cy="1846318"/>
                    </a:xfrm>
                    <a:prstGeom prst="rect">
                      <a:avLst/>
                    </a:prstGeom>
                    <a:ln>
                      <a:noFill/>
                    </a:ln>
                    <a:extLst>
                      <a:ext uri="{53640926-AAD7-44D8-BBD7-CCE9431645EC}">
                        <a14:shadowObscured xmlns:a14="http://schemas.microsoft.com/office/drawing/2010/main"/>
                      </a:ext>
                    </a:extLst>
                  </pic:spPr>
                </pic:pic>
              </a:graphicData>
            </a:graphic>
          </wp:inline>
        </w:drawing>
      </w:r>
    </w:p>
    <w:p w14:paraId="7C4CC07B" w14:textId="62F257B6" w:rsidR="004772C6" w:rsidRPr="00CB69DF" w:rsidRDefault="00000000" w:rsidP="00CB69DF">
      <w:pPr>
        <w:spacing w:before="40" w:after="200"/>
        <w:jc w:val="center"/>
        <w:rPr>
          <w:rFonts w:ascii="Times New Roman" w:hAnsi="Times New Roman" w:cs="Times New Roman"/>
          <w:b/>
          <w:i/>
          <w:iCs/>
          <w:sz w:val="20"/>
          <w:szCs w:val="20"/>
        </w:rPr>
      </w:pPr>
      <w:r w:rsidRPr="00CB69DF">
        <w:rPr>
          <w:rFonts w:ascii="Times New Roman" w:hAnsi="Times New Roman" w:cs="Times New Roman"/>
          <w:b/>
          <w:i/>
          <w:iCs/>
          <w:sz w:val="20"/>
          <w:szCs w:val="20"/>
        </w:rPr>
        <w:t xml:space="preserve">Figure 5. Real </w:t>
      </w:r>
      <w:r w:rsidR="00CB69DF">
        <w:rPr>
          <w:rFonts w:ascii="Times New Roman" w:hAnsi="Times New Roman" w:cs="Times New Roman"/>
          <w:b/>
          <w:i/>
          <w:iCs/>
          <w:sz w:val="20"/>
          <w:szCs w:val="20"/>
        </w:rPr>
        <w:t>vs</w:t>
      </w:r>
      <w:r w:rsidRPr="00CB69DF">
        <w:rPr>
          <w:rFonts w:ascii="Times New Roman" w:hAnsi="Times New Roman" w:cs="Times New Roman"/>
          <w:b/>
          <w:i/>
          <w:iCs/>
          <w:sz w:val="20"/>
          <w:szCs w:val="20"/>
        </w:rPr>
        <w:t xml:space="preserve"> generated OCT scans, FID = 43.70.</w:t>
      </w:r>
    </w:p>
    <w:p w14:paraId="27813C4D" w14:textId="77777777" w:rsidR="004772C6" w:rsidRPr="00CB69DF" w:rsidRDefault="00000000" w:rsidP="00CB69DF">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Figure 5 compares real and generated scans, quantified with FID, which compares InceptionV3 feature statistics between the two sets (Heusel et al., 2017). The generator scores FID = 43.70. Visually the fakes capture the bright curved retinal band over a darker background and are varied and not collapsed, though they are softer with occasionally smeared sub-layers, consistent with a mid-40s FID at 32x32 after 40 epochs. I read the score as directional, since Inception was trained on natural RGB photos and not greyscale scans.</w:t>
      </w:r>
    </w:p>
    <w:p w14:paraId="23F32087" w14:textId="77777777" w:rsidR="004772C6" w:rsidRPr="00CB69DF" w:rsidRDefault="00000000" w:rsidP="00CB69DF">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For the extension, to generate a chosen class on demand I built a conditional DCGAN (Mirza and Osindero, 2014), embedding the label and concatenating it with the latent vector for the generator while adding it as a discriminator input channel.</w:t>
      </w:r>
    </w:p>
    <w:p w14:paraId="4133AA9E" w14:textId="77777777" w:rsidR="004772C6" w:rsidRPr="00CB69DF" w:rsidRDefault="00000000" w:rsidP="00CB69DF">
      <w:pPr>
        <w:spacing w:before="120" w:after="120"/>
        <w:jc w:val="center"/>
        <w:rPr>
          <w:rFonts w:ascii="Times New Roman" w:hAnsi="Times New Roman" w:cs="Times New Roman"/>
          <w:sz w:val="20"/>
          <w:szCs w:val="20"/>
        </w:rPr>
      </w:pPr>
      <w:r w:rsidRPr="00CB69DF">
        <w:rPr>
          <w:rFonts w:ascii="Times New Roman" w:hAnsi="Times New Roman" w:cs="Times New Roman"/>
          <w:noProof/>
          <w:sz w:val="20"/>
          <w:szCs w:val="20"/>
        </w:rPr>
        <w:lastRenderedPageBreak/>
        <w:drawing>
          <wp:inline distT="0" distB="0" distL="0" distR="0" wp14:anchorId="1D3A8BFC" wp14:editId="069AB406">
            <wp:extent cx="3990109" cy="2194560"/>
            <wp:effectExtent l="0" t="0" r="0" b="0"/>
            <wp:docPr id="10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6.png"/>
                    <pic:cNvPicPr/>
                  </pic:nvPicPr>
                  <pic:blipFill>
                    <a:blip r:embed="rId9"/>
                    <a:stretch>
                      <a:fillRect/>
                    </a:stretch>
                  </pic:blipFill>
                  <pic:spPr>
                    <a:xfrm>
                      <a:off x="0" y="0"/>
                      <a:ext cx="3990109" cy="2194560"/>
                    </a:xfrm>
                    <a:prstGeom prst="rect">
                      <a:avLst/>
                    </a:prstGeom>
                  </pic:spPr>
                </pic:pic>
              </a:graphicData>
            </a:graphic>
          </wp:inline>
        </w:drawing>
      </w:r>
    </w:p>
    <w:p w14:paraId="7625457D" w14:textId="77777777" w:rsidR="004772C6" w:rsidRPr="00CB69DF" w:rsidRDefault="00000000" w:rsidP="00CB69DF">
      <w:pPr>
        <w:spacing w:before="40" w:after="200"/>
        <w:jc w:val="center"/>
        <w:rPr>
          <w:rFonts w:ascii="Times New Roman" w:hAnsi="Times New Roman" w:cs="Times New Roman"/>
          <w:b/>
          <w:i/>
          <w:iCs/>
          <w:sz w:val="20"/>
          <w:szCs w:val="20"/>
        </w:rPr>
      </w:pPr>
      <w:r w:rsidRPr="00CB69DF">
        <w:rPr>
          <w:rFonts w:ascii="Times New Roman" w:hAnsi="Times New Roman" w:cs="Times New Roman"/>
          <w:b/>
          <w:i/>
          <w:iCs/>
          <w:sz w:val="20"/>
          <w:szCs w:val="20"/>
        </w:rPr>
        <w:t>Figure 6. Class-conditional samples from the cGAN extension.</w:t>
      </w:r>
    </w:p>
    <w:p w14:paraId="0EE7C14D" w14:textId="77777777" w:rsidR="004772C6" w:rsidRPr="00CB69DF" w:rsidRDefault="00000000" w:rsidP="00CB69DF">
      <w:pPr>
        <w:spacing w:before="120" w:after="120"/>
        <w:jc w:val="both"/>
        <w:rPr>
          <w:rFonts w:ascii="Times New Roman" w:hAnsi="Times New Roman" w:cs="Times New Roman"/>
          <w:sz w:val="20"/>
          <w:szCs w:val="20"/>
        </w:rPr>
      </w:pPr>
      <w:r w:rsidRPr="00CB69DF">
        <w:rPr>
          <w:rFonts w:ascii="Times New Roman" w:hAnsi="Times New Roman" w:cs="Times New Roman"/>
          <w:sz w:val="20"/>
          <w:szCs w:val="20"/>
        </w:rPr>
        <w:t>A naïve version collapsed (discriminator loss to zero, generator loss diverging, noise output). Three fixes stabilised it: one-sided label smoothing (real target 0.9) to curb discriminator over-confidence, a two time-scale update rule with a slower discriminator (Heusel et al., 2017), and class-balanced sampling for the 6:1 imbalance. Figure 6 shows samples generated per class on request, with losses recovering from D=0.66, G=3.03 at epoch 1 into a stable range. The between-class differences stay subtle, reflecting how similar these scans look even in the real data.</w:t>
      </w:r>
    </w:p>
    <w:p w14:paraId="6BEF683C" w14:textId="77777777" w:rsidR="004772C6" w:rsidRPr="00CB69DF" w:rsidRDefault="00000000" w:rsidP="00CB69DF">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The point behind the 'ducks' prompt is that the DCGAN has no idea it is looking at eyes; it only learns the statistics of a pile of 32x32 arrays. Swap in duck photos and the identical code learns those instead. That content-agnosticism is why the same recipe transfers across Part 2, but it is also the key limitation: the discriminator learns real versus fake and never anatomically plausible, so it can render convincing structure with no anatomical basis. Synthetic scans are fine for augmentation or teaching but should not feed a real diagnostic pipeline without expert review.</w:t>
      </w:r>
    </w:p>
    <w:p w14:paraId="5A7EA7A7" w14:textId="77777777" w:rsidR="004772C6" w:rsidRPr="00CB69DF" w:rsidRDefault="00000000" w:rsidP="00CB69DF">
      <w:pPr>
        <w:spacing w:before="200" w:after="80"/>
        <w:jc w:val="both"/>
        <w:rPr>
          <w:rFonts w:ascii="Times New Roman" w:hAnsi="Times New Roman" w:cs="Times New Roman"/>
        </w:rPr>
      </w:pPr>
      <w:r w:rsidRPr="00CB69DF">
        <w:rPr>
          <w:rFonts w:ascii="Times New Roman" w:hAnsi="Times New Roman" w:cs="Times New Roman"/>
          <w:b/>
        </w:rPr>
        <w:t>Part 2.2: cybersecurity, synthetic traffic with CICIDS 2017</w:t>
      </w:r>
    </w:p>
    <w:p w14:paraId="47F29433" w14:textId="77777777" w:rsidR="004772C6" w:rsidRPr="00CB69DF" w:rsidRDefault="00000000" w:rsidP="00CB69DF">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CICIDS 2017 stores each flow as a vector of roughly 78 numeric features instead of an image (Sharafaldin, Lashkari and Ghorbani, 2018). Because the data are tabular with no spatial locality, a convolutional DCGAN is inappropriate, so I use a fully-connected GAN that keeps the DCGAN recipe (adversarial BCEWithLogitsLoss, generator BatchNorm, a LeakyReLU discriminator with dropout, Adam, label smoothing) but uses dense layers and a linear output, since the standardised features are unbounded. Following the brief, I combine all per-day CSVs, then train on Wednesday.</w:t>
      </w:r>
    </w:p>
    <w:p w14:paraId="402C3CE6" w14:textId="77777777" w:rsidR="004772C6" w:rsidRPr="00CB69DF" w:rsidRDefault="00000000" w:rsidP="00CB69DF">
      <w:pPr>
        <w:spacing w:before="120" w:after="120"/>
        <w:jc w:val="both"/>
        <w:rPr>
          <w:rFonts w:ascii="Times New Roman" w:hAnsi="Times New Roman" w:cs="Times New Roman"/>
          <w:sz w:val="20"/>
          <w:szCs w:val="20"/>
        </w:rPr>
      </w:pPr>
      <w:r w:rsidRPr="00CB69DF">
        <w:rPr>
          <w:rFonts w:ascii="Times New Roman" w:hAnsi="Times New Roman" w:cs="Times New Roman"/>
          <w:noProof/>
          <w:sz w:val="20"/>
          <w:szCs w:val="20"/>
        </w:rPr>
        <w:drawing>
          <wp:inline distT="0" distB="0" distL="0" distR="0" wp14:anchorId="5E7FE95D" wp14:editId="6C286FF8">
            <wp:extent cx="4206240" cy="1101702"/>
            <wp:effectExtent l="0" t="0" r="0" b="0"/>
            <wp:docPr id="10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7.png"/>
                    <pic:cNvPicPr/>
                  </pic:nvPicPr>
                  <pic:blipFill>
                    <a:blip r:embed="rId10"/>
                    <a:stretch>
                      <a:fillRect/>
                    </a:stretch>
                  </pic:blipFill>
                  <pic:spPr>
                    <a:xfrm>
                      <a:off x="0" y="0"/>
                      <a:ext cx="4206240" cy="1101702"/>
                    </a:xfrm>
                    <a:prstGeom prst="rect">
                      <a:avLst/>
                    </a:prstGeom>
                  </pic:spPr>
                </pic:pic>
              </a:graphicData>
            </a:graphic>
          </wp:inline>
        </w:drawing>
      </w:r>
    </w:p>
    <w:p w14:paraId="7C290B42" w14:textId="77777777" w:rsidR="004772C6" w:rsidRPr="00CB69DF" w:rsidRDefault="00000000" w:rsidP="00CB69DF">
      <w:pPr>
        <w:spacing w:before="40" w:after="200"/>
        <w:jc w:val="center"/>
        <w:rPr>
          <w:rFonts w:ascii="Times New Roman" w:hAnsi="Times New Roman" w:cs="Times New Roman"/>
          <w:b/>
          <w:i/>
          <w:iCs/>
          <w:sz w:val="20"/>
          <w:szCs w:val="20"/>
        </w:rPr>
      </w:pPr>
      <w:r w:rsidRPr="00CB69DF">
        <w:rPr>
          <w:rFonts w:ascii="Times New Roman" w:hAnsi="Times New Roman" w:cs="Times New Roman"/>
          <w:b/>
          <w:i/>
          <w:iCs/>
          <w:sz w:val="20"/>
          <w:szCs w:val="20"/>
        </w:rPr>
        <w:t>Figure 7. Combined CICIDS 2017 class balance and per-day volumes.</w:t>
      </w:r>
    </w:p>
    <w:p w14:paraId="4DA1DCA9" w14:textId="77777777" w:rsidR="004772C6" w:rsidRPr="00CB69DF" w:rsidRDefault="00000000" w:rsidP="00CB69DF">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Merging the eight files gives 2,830,743 flows across 80 columns with 78 numeric features, needing 4,376 infinite and 1,358 missing values cleaned. Figure 7 shows BENIGN dominating so heavily that a log scale is needed to see the attacks, an imbalance that foreshadows later difficulty with rare attacks. A label note: the brief says 'DDoS', but Wednesday contains single-source DoS attacks (Hulk, GoldenEye, slowloris, Slowhttptest), so I treat it as BENIGN vs DoS and flag the mismatch deliberately. Wednesday's largest labels are BENIGN = 440,031 and DoS Hulk = 231,073. Features are standardised and clipped to plus or minus 5 sigma so outliers cannot destabilise training, and the GAN trains on a 20,000-row sample for 60 epochs (ending D=1.0189, G=1.4104).</w:t>
      </w:r>
    </w:p>
    <w:p w14:paraId="559B18A2" w14:textId="77777777" w:rsidR="004772C6" w:rsidRPr="00CB69DF" w:rsidRDefault="00000000" w:rsidP="00CB69DF">
      <w:pPr>
        <w:spacing w:before="120" w:after="120"/>
        <w:jc w:val="center"/>
        <w:rPr>
          <w:rFonts w:ascii="Times New Roman" w:hAnsi="Times New Roman" w:cs="Times New Roman"/>
          <w:sz w:val="20"/>
          <w:szCs w:val="20"/>
        </w:rPr>
      </w:pPr>
      <w:r w:rsidRPr="00CB69DF">
        <w:rPr>
          <w:rFonts w:ascii="Times New Roman" w:hAnsi="Times New Roman" w:cs="Times New Roman"/>
          <w:noProof/>
          <w:sz w:val="20"/>
          <w:szCs w:val="20"/>
        </w:rPr>
        <w:drawing>
          <wp:inline distT="0" distB="0" distL="0" distR="0" wp14:anchorId="665C7F78" wp14:editId="3FFC13E3">
            <wp:extent cx="2500590" cy="2194560"/>
            <wp:effectExtent l="0" t="0" r="0" b="0"/>
            <wp:docPr id="108"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8.png"/>
                    <pic:cNvPicPr/>
                  </pic:nvPicPr>
                  <pic:blipFill>
                    <a:blip r:embed="rId11"/>
                    <a:stretch>
                      <a:fillRect/>
                    </a:stretch>
                  </pic:blipFill>
                  <pic:spPr>
                    <a:xfrm>
                      <a:off x="0" y="0"/>
                      <a:ext cx="2500590" cy="2194560"/>
                    </a:xfrm>
                    <a:prstGeom prst="rect">
                      <a:avLst/>
                    </a:prstGeom>
                  </pic:spPr>
                </pic:pic>
              </a:graphicData>
            </a:graphic>
          </wp:inline>
        </w:drawing>
      </w:r>
    </w:p>
    <w:p w14:paraId="3A0CE581" w14:textId="77777777" w:rsidR="004772C6" w:rsidRPr="00CB69DF" w:rsidRDefault="00000000" w:rsidP="00CB69DF">
      <w:pPr>
        <w:spacing w:before="40" w:after="200"/>
        <w:jc w:val="center"/>
        <w:rPr>
          <w:rFonts w:ascii="Times New Roman" w:hAnsi="Times New Roman" w:cs="Times New Roman"/>
          <w:b/>
          <w:i/>
          <w:iCs/>
          <w:sz w:val="20"/>
          <w:szCs w:val="20"/>
        </w:rPr>
      </w:pPr>
      <w:r w:rsidRPr="00CB69DF">
        <w:rPr>
          <w:rFonts w:ascii="Times New Roman" w:hAnsi="Times New Roman" w:cs="Times New Roman"/>
          <w:b/>
          <w:i/>
          <w:iCs/>
          <w:sz w:val="20"/>
          <w:szCs w:val="20"/>
        </w:rPr>
        <w:t>Figure 8. t-SNE of real versus synthetic Wednesday traffic.</w:t>
      </w:r>
    </w:p>
    <w:p w14:paraId="1BCD59DC" w14:textId="77777777" w:rsidR="004772C6" w:rsidRPr="00CB69DF" w:rsidRDefault="00000000" w:rsidP="00CB69DF">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Since a feature vector cannot be eyeballed, I evaluate alignment via PCA (linear) and t-SNE (nonlinear, local structure; van der Maaten and Hinton, 2008). Figure 8 shows the synthetic cloud sitting on the dense BENIGN region and pushing partway into the DoS clusters without reproducing their separate structure. Quantitatively, the average absolute per-feature gap (standardised) is 0.1387 on the means and 0.2480 on the standard deviations. So the generator matches where most traffic lives and the typical feature values, but is smoother than the real data and misses the DoS tails, the usual result for a plain unconditional GAN on heavy-tailed, partly-binary features.</w:t>
      </w:r>
    </w:p>
    <w:p w14:paraId="2FFD1827" w14:textId="77777777" w:rsidR="004772C6" w:rsidRPr="00CB69DF" w:rsidRDefault="00000000" w:rsidP="00CB69DF">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For the extension across all days, retraining on the full dataset (2,827,876 rows, 30,000 sampled) tests coverage across attack families.</w:t>
      </w:r>
    </w:p>
    <w:p w14:paraId="1B9451BC" w14:textId="77777777" w:rsidR="004772C6" w:rsidRPr="00CB69DF" w:rsidRDefault="00000000" w:rsidP="00CB69DF">
      <w:pPr>
        <w:spacing w:before="120" w:after="120"/>
        <w:jc w:val="center"/>
        <w:rPr>
          <w:rFonts w:ascii="Times New Roman" w:hAnsi="Times New Roman" w:cs="Times New Roman"/>
          <w:sz w:val="20"/>
          <w:szCs w:val="20"/>
        </w:rPr>
      </w:pPr>
      <w:r w:rsidRPr="00CB69DF">
        <w:rPr>
          <w:rFonts w:ascii="Times New Roman" w:hAnsi="Times New Roman" w:cs="Times New Roman"/>
          <w:noProof/>
          <w:sz w:val="20"/>
          <w:szCs w:val="20"/>
        </w:rPr>
        <w:drawing>
          <wp:inline distT="0" distB="0" distL="0" distR="0" wp14:anchorId="72A2085F" wp14:editId="6151A375">
            <wp:extent cx="2810647" cy="2194560"/>
            <wp:effectExtent l="0" t="0" r="0" b="0"/>
            <wp:docPr id="10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9.png"/>
                    <pic:cNvPicPr/>
                  </pic:nvPicPr>
                  <pic:blipFill>
                    <a:blip r:embed="rId12"/>
                    <a:stretch>
                      <a:fillRect/>
                    </a:stretch>
                  </pic:blipFill>
                  <pic:spPr>
                    <a:xfrm>
                      <a:off x="0" y="0"/>
                      <a:ext cx="2810647" cy="2194560"/>
                    </a:xfrm>
                    <a:prstGeom prst="rect">
                      <a:avLst/>
                    </a:prstGeom>
                  </pic:spPr>
                </pic:pic>
              </a:graphicData>
            </a:graphic>
          </wp:inline>
        </w:drawing>
      </w:r>
    </w:p>
    <w:p w14:paraId="24104A4D" w14:textId="77777777" w:rsidR="004772C6" w:rsidRPr="00CB69DF" w:rsidRDefault="00000000" w:rsidP="00CB69DF">
      <w:pPr>
        <w:spacing w:before="40" w:after="200"/>
        <w:jc w:val="center"/>
        <w:rPr>
          <w:rFonts w:ascii="Times New Roman" w:hAnsi="Times New Roman" w:cs="Times New Roman"/>
          <w:b/>
          <w:i/>
          <w:iCs/>
          <w:sz w:val="20"/>
          <w:szCs w:val="20"/>
        </w:rPr>
      </w:pPr>
      <w:r w:rsidRPr="00CB69DF">
        <w:rPr>
          <w:rFonts w:ascii="Times New Roman" w:hAnsi="Times New Roman" w:cs="Times New Roman"/>
          <w:b/>
          <w:i/>
          <w:iCs/>
          <w:sz w:val="20"/>
          <w:szCs w:val="20"/>
        </w:rPr>
        <w:t>Figure 9. All-days PCA, real points coloured by attack family.</w:t>
      </w:r>
    </w:p>
    <w:p w14:paraId="1FFF3DDF" w14:textId="77777777" w:rsidR="004772C6" w:rsidRPr="00CB69DF" w:rsidRDefault="00000000" w:rsidP="00CB69DF">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Figure 9 colours real points by family. The synthetic cloud leans to BENIGN and the large attack blobs while barely touching the rare families; the comparison sample holds only 2 Bot, 11 Brute Force and 2 Web Attack real points, so there is almost nothing to learn from. Adding data slightly improves the mean-gap (0.1009 vs 0.1387) but worsens the std-gap (0.3004 vs 0.2480): more data sharpens the averages yet cannot cover the extra variance. A single unconditional GAN does not generalise across attack families, so a conditional GAN or per-family models would follow. The 'duck' point bites harder here, since a synthetic flow can be statistically plausible yet physically impossible, which is why the overlap and per-feature-gap checks matter more than any visual inspection.</w:t>
      </w:r>
    </w:p>
    <w:p w14:paraId="1DF55BF2" w14:textId="77777777" w:rsidR="004772C6" w:rsidRPr="00CB69DF" w:rsidRDefault="00000000" w:rsidP="00CB69DF">
      <w:pPr>
        <w:spacing w:before="200" w:after="80"/>
        <w:jc w:val="both"/>
        <w:rPr>
          <w:rFonts w:ascii="Times New Roman" w:hAnsi="Times New Roman" w:cs="Times New Roman"/>
        </w:rPr>
      </w:pPr>
      <w:r w:rsidRPr="00CB69DF">
        <w:rPr>
          <w:rFonts w:ascii="Times New Roman" w:hAnsi="Times New Roman" w:cs="Times New Roman"/>
          <w:b/>
        </w:rPr>
        <w:t>Part 2.3: creative AI, QuickDraw 'birthday cake' subset</w:t>
      </w:r>
    </w:p>
    <w:p w14:paraId="68D514C6" w14:textId="77777777" w:rsidR="004772C6" w:rsidRPr="00CB69DF" w:rsidRDefault="00000000" w:rsidP="00CB69DF">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The final task trains a DCGAN on the QuickDraw 'birthday cake' set of 28x28 greyscale sketch bitmaps (Ha and Eck, 2018). I implement it in TensorFlow/Keras in the model.fit style: a functional-API generator and discriminator wrapped in a keras.Model subclass whose train_step performs the adversarial update, deliberately showing a different framework and style from earlier parts. The config is a 100-d latent vector, 48 base feature maps, Adam at lr = 0.00015 (beta1 = 0.5) and 35 epochs at batch 256; the generator has 677,952 parameters. Of 144,982 available sketches I train on a random 30,000.</w:t>
      </w:r>
    </w:p>
    <w:p w14:paraId="518AE32B" w14:textId="77777777" w:rsidR="004772C6" w:rsidRPr="00CB69DF" w:rsidRDefault="00000000" w:rsidP="00CB69DF">
      <w:pPr>
        <w:spacing w:before="120" w:after="120"/>
        <w:jc w:val="center"/>
        <w:rPr>
          <w:rFonts w:ascii="Times New Roman" w:hAnsi="Times New Roman" w:cs="Times New Roman"/>
          <w:sz w:val="20"/>
          <w:szCs w:val="20"/>
        </w:rPr>
      </w:pPr>
      <w:r w:rsidRPr="00CB69DF">
        <w:rPr>
          <w:rFonts w:ascii="Times New Roman" w:hAnsi="Times New Roman" w:cs="Times New Roman"/>
          <w:noProof/>
          <w:sz w:val="20"/>
          <w:szCs w:val="20"/>
        </w:rPr>
        <w:drawing>
          <wp:inline distT="0" distB="0" distL="0" distR="0" wp14:anchorId="17F89386" wp14:editId="71B1EB72">
            <wp:extent cx="3986784" cy="2194560"/>
            <wp:effectExtent l="0" t="0" r="0" b="0"/>
            <wp:docPr id="11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0.png"/>
                    <pic:cNvPicPr/>
                  </pic:nvPicPr>
                  <pic:blipFill>
                    <a:blip r:embed="rId13"/>
                    <a:stretch>
                      <a:fillRect/>
                    </a:stretch>
                  </pic:blipFill>
                  <pic:spPr>
                    <a:xfrm>
                      <a:off x="0" y="0"/>
                      <a:ext cx="3986784" cy="2194560"/>
                    </a:xfrm>
                    <a:prstGeom prst="rect">
                      <a:avLst/>
                    </a:prstGeom>
                  </pic:spPr>
                </pic:pic>
              </a:graphicData>
            </a:graphic>
          </wp:inline>
        </w:drawing>
      </w:r>
    </w:p>
    <w:p w14:paraId="5839D065" w14:textId="77777777" w:rsidR="004772C6" w:rsidRPr="00CB69DF" w:rsidRDefault="00000000" w:rsidP="00CB69DF">
      <w:pPr>
        <w:spacing w:before="40" w:after="200"/>
        <w:jc w:val="center"/>
        <w:rPr>
          <w:rFonts w:ascii="Times New Roman" w:hAnsi="Times New Roman" w:cs="Times New Roman"/>
          <w:b/>
          <w:i/>
          <w:iCs/>
          <w:sz w:val="20"/>
          <w:szCs w:val="20"/>
        </w:rPr>
      </w:pPr>
      <w:r w:rsidRPr="00CB69DF">
        <w:rPr>
          <w:rFonts w:ascii="Times New Roman" w:hAnsi="Times New Roman" w:cs="Times New Roman"/>
          <w:b/>
          <w:i/>
          <w:iCs/>
          <w:sz w:val="20"/>
          <w:szCs w:val="20"/>
        </w:rPr>
        <w:t>Figure 10. Real versus generated birthday-cake sketches, FID = 42.13.</w:t>
      </w:r>
    </w:p>
    <w:p w14:paraId="3CFCA27C" w14:textId="77777777" w:rsidR="004772C6" w:rsidRPr="00CB69DF" w:rsidRDefault="00000000" w:rsidP="00CB69DF">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Figure 10 compares real and generated cakes; the model scores FID = 42.13 using the same InceptionV3 approach as Part 2.1. The cakes are clearly recognisable, showing a rounded or rectangular body, candles and often a plate, with line-art faults such as broken strokes and speckle visible up close but not hiding the subject. Losses stay in a healthy back-and-forth (from d_loss=0.55, g_loss=2.84 at epoch 1), with only occasional spikes.</w:t>
      </w:r>
    </w:p>
    <w:p w14:paraId="42F24930" w14:textId="77777777" w:rsidR="004772C6" w:rsidRPr="00CB69DF" w:rsidRDefault="00000000" w:rsidP="00CB69DF">
      <w:pPr>
        <w:spacing w:before="120" w:after="120"/>
        <w:jc w:val="both"/>
        <w:rPr>
          <w:rFonts w:ascii="Times New Roman" w:hAnsi="Times New Roman" w:cs="Times New Roman"/>
          <w:sz w:val="20"/>
          <w:szCs w:val="20"/>
        </w:rPr>
      </w:pPr>
      <w:r w:rsidRPr="00CB69DF">
        <w:rPr>
          <w:rFonts w:ascii="Times New Roman" w:hAnsi="Times New Roman" w:cs="Times New Roman"/>
          <w:noProof/>
          <w:sz w:val="20"/>
          <w:szCs w:val="20"/>
        </w:rPr>
        <w:drawing>
          <wp:inline distT="0" distB="0" distL="0" distR="0" wp14:anchorId="58C53309" wp14:editId="2043CF9D">
            <wp:extent cx="4206240" cy="978609"/>
            <wp:effectExtent l="0" t="0" r="0" b="0"/>
            <wp:docPr id="11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1.png"/>
                    <pic:cNvPicPr/>
                  </pic:nvPicPr>
                  <pic:blipFill>
                    <a:blip r:embed="rId14"/>
                    <a:stretch>
                      <a:fillRect/>
                    </a:stretch>
                  </pic:blipFill>
                  <pic:spPr>
                    <a:xfrm>
                      <a:off x="0" y="0"/>
                      <a:ext cx="4206240" cy="978609"/>
                    </a:xfrm>
                    <a:prstGeom prst="rect">
                      <a:avLst/>
                    </a:prstGeom>
                  </pic:spPr>
                </pic:pic>
              </a:graphicData>
            </a:graphic>
          </wp:inline>
        </w:drawing>
      </w:r>
    </w:p>
    <w:p w14:paraId="63EE7D9E" w14:textId="77777777" w:rsidR="004772C6" w:rsidRPr="00CB69DF" w:rsidRDefault="00000000" w:rsidP="00CB69DF">
      <w:pPr>
        <w:spacing w:before="40" w:after="200"/>
        <w:jc w:val="center"/>
        <w:rPr>
          <w:rFonts w:ascii="Times New Roman" w:hAnsi="Times New Roman" w:cs="Times New Roman"/>
          <w:b/>
          <w:i/>
          <w:iCs/>
          <w:sz w:val="20"/>
          <w:szCs w:val="20"/>
        </w:rPr>
      </w:pPr>
      <w:r w:rsidRPr="00CB69DF">
        <w:rPr>
          <w:rFonts w:ascii="Times New Roman" w:hAnsi="Times New Roman" w:cs="Times New Roman"/>
          <w:b/>
          <w:i/>
          <w:iCs/>
          <w:sz w:val="20"/>
          <w:szCs w:val="20"/>
        </w:rPr>
        <w:t>Figure 11. Sample progression across training epochs.</w:t>
      </w:r>
    </w:p>
    <w:p w14:paraId="4F5605AB" w14:textId="77777777" w:rsidR="004772C6" w:rsidRPr="00CB69DF" w:rsidRDefault="00000000" w:rsidP="00CB69DF">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Figure 11 shows fixed-noise samples at five epochs. Early snapshots are blurry blobs; later ones sharpen into cake outlines with candles, the qualitative counterpart to the losses stabilising. Tracking the same noise over time separates genuine learning from mode-hopping, since the samples evolve smoothly towards structure instead of jumping between shapes.</w:t>
      </w:r>
    </w:p>
    <w:p w14:paraId="322440D9" w14:textId="77777777" w:rsidR="004772C6" w:rsidRPr="00CB69DF" w:rsidRDefault="00000000" w:rsidP="00CB69DF">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For the extension on other categories, I retrained the same model on two more classes and compared FID against an 'ink fraction' complexity proxy.</w:t>
      </w:r>
    </w:p>
    <w:p w14:paraId="33D88280" w14:textId="77777777" w:rsidR="004772C6" w:rsidRPr="00CB69DF" w:rsidRDefault="00000000" w:rsidP="00CB69DF">
      <w:pPr>
        <w:spacing w:before="120" w:after="120"/>
        <w:jc w:val="center"/>
        <w:rPr>
          <w:rFonts w:ascii="Times New Roman" w:hAnsi="Times New Roman" w:cs="Times New Roman"/>
          <w:sz w:val="20"/>
          <w:szCs w:val="20"/>
        </w:rPr>
      </w:pPr>
      <w:r w:rsidRPr="00CB69DF">
        <w:rPr>
          <w:rFonts w:ascii="Times New Roman" w:hAnsi="Times New Roman" w:cs="Times New Roman"/>
          <w:noProof/>
          <w:sz w:val="20"/>
          <w:szCs w:val="20"/>
        </w:rPr>
        <w:drawing>
          <wp:inline distT="0" distB="0" distL="0" distR="0" wp14:anchorId="648090BA" wp14:editId="6B7328A2">
            <wp:extent cx="4206240" cy="1821125"/>
            <wp:effectExtent l="0" t="0" r="0" b="0"/>
            <wp:docPr id="112"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2.png"/>
                    <pic:cNvPicPr/>
                  </pic:nvPicPr>
                  <pic:blipFill>
                    <a:blip r:embed="rId15"/>
                    <a:stretch>
                      <a:fillRect/>
                    </a:stretch>
                  </pic:blipFill>
                  <pic:spPr>
                    <a:xfrm>
                      <a:off x="0" y="0"/>
                      <a:ext cx="4206240" cy="1821125"/>
                    </a:xfrm>
                    <a:prstGeom prst="rect">
                      <a:avLst/>
                    </a:prstGeom>
                  </pic:spPr>
                </pic:pic>
              </a:graphicData>
            </a:graphic>
          </wp:inline>
        </w:drawing>
      </w:r>
    </w:p>
    <w:p w14:paraId="14132EC9" w14:textId="77777777" w:rsidR="004772C6" w:rsidRPr="00CB69DF" w:rsidRDefault="00000000" w:rsidP="00CB69DF">
      <w:pPr>
        <w:spacing w:before="40" w:after="200"/>
        <w:jc w:val="center"/>
        <w:rPr>
          <w:rFonts w:ascii="Times New Roman" w:hAnsi="Times New Roman" w:cs="Times New Roman"/>
          <w:sz w:val="20"/>
          <w:szCs w:val="20"/>
        </w:rPr>
      </w:pPr>
      <w:r w:rsidRPr="00CB69DF">
        <w:rPr>
          <w:rFonts w:ascii="Times New Roman" w:hAnsi="Times New Roman" w:cs="Times New Roman"/>
          <w:b/>
          <w:sz w:val="20"/>
          <w:szCs w:val="20"/>
        </w:rPr>
        <w:t>Figure 12.</w:t>
      </w:r>
      <w:r w:rsidRPr="00CB69DF">
        <w:rPr>
          <w:rFonts w:ascii="Times New Roman" w:hAnsi="Times New Roman" w:cs="Times New Roman"/>
          <w:sz w:val="20"/>
          <w:szCs w:val="20"/>
        </w:rPr>
        <w:t xml:space="preserve"> Cross-category FID versus ink-fraction complexity proxy.</w:t>
      </w:r>
    </w:p>
    <w:p w14:paraId="3EF69708" w14:textId="77777777" w:rsidR="004772C6" w:rsidRPr="00CB69DF" w:rsidRDefault="00000000" w:rsidP="00CB69DF">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Figure 12 reports house = 35.22, cat = 39.53, cake = 42.13, while the ink-fractions are nearly flat (0.2368, 0.2655, 0.2708). Since ink density barely varies, it cannot explain the FID differences. House is the easiest, which fits intuition, because houses are structurally rigid whereas cats and cakes vary more in pose, tiers and candle count. Shape variety, not ink coverage, drives the difficulty, and the ordering of house then cat then cake follows increasing structural variety.</w:t>
      </w:r>
    </w:p>
    <w:p w14:paraId="150CE8B9" w14:textId="77777777" w:rsidR="004772C6" w:rsidRPr="00CB69DF" w:rsidRDefault="00000000" w:rsidP="00CB69DF">
      <w:pPr>
        <w:spacing w:before="240" w:after="100"/>
        <w:jc w:val="both"/>
        <w:rPr>
          <w:rFonts w:ascii="Times New Roman" w:hAnsi="Times New Roman" w:cs="Times New Roman"/>
          <w:sz w:val="20"/>
          <w:szCs w:val="20"/>
        </w:rPr>
      </w:pPr>
      <w:r w:rsidRPr="00CB69DF">
        <w:rPr>
          <w:rFonts w:ascii="Times New Roman" w:hAnsi="Times New Roman" w:cs="Times New Roman"/>
          <w:b/>
          <w:sz w:val="20"/>
          <w:szCs w:val="20"/>
        </w:rPr>
        <w:t>Conclusions and future work</w:t>
      </w:r>
    </w:p>
    <w:p w14:paraId="2B48BA61" w14:textId="77777777" w:rsidR="004772C6" w:rsidRPr="00CB69DF" w:rsidRDefault="00000000" w:rsidP="00CB69DF">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The same adversarial recipe adapted cleanly to very different data by changing only the input representation and the network family. Part 1 confirmed the mechanics: an MLP learned a sine wave almost perfectly and reached every mode of a Gaussian ring, and adding depth and width with SELU sharpened the samples without altering coverage. Part 2.1 produced plausible OCT scans (FID 43.70) and a stabilised conditional model that generates any class on demand. Part 2.2 matched the bulk of real traffic (gaps 0.1387/0.2480 on Wednesday) but missed the attack tails, and the all-days run confirmed one unconditional model cannot span many families. Part 2.3 generated recognisable cake sketches (FID 42.13) and showed that difficulty tracks shape variety, not ink density.</w:t>
      </w:r>
    </w:p>
    <w:p w14:paraId="2022E56B" w14:textId="77777777" w:rsidR="004772C6" w:rsidRPr="00CB69DF" w:rsidRDefault="00000000" w:rsidP="00CB69DF">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Three directions follow. First, coverage of rare classes: both the OCT imbalance and the CICIDS rare-attack failure point to conditional generation, per-class models or minority-aware sampling. Second, better-matched evaluation: ImageNet-based FID is only directional for greyscale scans and line-art, so a domain-specific extractor or a 'train-on-synthetic, test-on-real' classifier would give a more trustworthy signal. Third, stronger objectives: a Wasserstein loss with gradient penalty (Gulrajani et al., 2017) would likely tighten the loose Gaussian-mixture and smoothed CICIDS distributions. The recurring lesson, framed by the 'duck' question, is that a GAN learns statistical resemblance, never semantic correctness, so synthetic medical or security data must be validated before it is trusted downstream.</w:t>
      </w:r>
    </w:p>
    <w:p w14:paraId="75C80CF7" w14:textId="4238722C" w:rsidR="004772C6" w:rsidRPr="00CB69DF" w:rsidRDefault="00000000" w:rsidP="00CB69DF">
      <w:pPr>
        <w:spacing w:before="240" w:after="100"/>
        <w:jc w:val="both"/>
        <w:rPr>
          <w:rFonts w:ascii="Times New Roman" w:hAnsi="Times New Roman" w:cs="Times New Roman"/>
          <w:sz w:val="20"/>
          <w:szCs w:val="20"/>
        </w:rPr>
      </w:pPr>
      <w:r w:rsidRPr="00CB69DF">
        <w:rPr>
          <w:rFonts w:ascii="Times New Roman" w:hAnsi="Times New Roman" w:cs="Times New Roman"/>
          <w:b/>
          <w:sz w:val="20"/>
          <w:szCs w:val="20"/>
        </w:rPr>
        <w:t>References</w:t>
      </w:r>
    </w:p>
    <w:p w14:paraId="16A64A6E" w14:textId="77777777" w:rsidR="004772C6" w:rsidRPr="00CB69DF" w:rsidRDefault="00000000" w:rsidP="00CB69DF">
      <w:pPr>
        <w:spacing w:before="120" w:after="120"/>
        <w:jc w:val="both"/>
        <w:rPr>
          <w:rFonts w:ascii="Times New Roman" w:hAnsi="Times New Roman" w:cs="Times New Roman"/>
          <w:sz w:val="20"/>
          <w:szCs w:val="20"/>
        </w:rPr>
      </w:pPr>
      <w:r w:rsidRPr="00CB69DF">
        <w:rPr>
          <w:rFonts w:ascii="Times New Roman" w:hAnsi="Times New Roman" w:cs="Times New Roman"/>
          <w:sz w:val="20"/>
          <w:szCs w:val="20"/>
        </w:rPr>
        <w:t xml:space="preserve">Goodfellow, I. et al. (2014) 'Generative adversarial nets', in </w:t>
      </w:r>
      <w:r w:rsidRPr="00CB69DF">
        <w:rPr>
          <w:rFonts w:ascii="Times New Roman" w:hAnsi="Times New Roman" w:cs="Times New Roman"/>
          <w:i/>
          <w:sz w:val="20"/>
          <w:szCs w:val="20"/>
        </w:rPr>
        <w:t>Advances in Neural Information Processing Systems (NeurIPS) 27</w:t>
      </w:r>
      <w:r w:rsidRPr="00CB69DF">
        <w:rPr>
          <w:rFonts w:ascii="Times New Roman" w:hAnsi="Times New Roman" w:cs="Times New Roman"/>
          <w:sz w:val="20"/>
          <w:szCs w:val="20"/>
        </w:rPr>
        <w:t>. Montreal, pp. 2672-2680.</w:t>
      </w:r>
    </w:p>
    <w:p w14:paraId="04822A9E" w14:textId="77777777" w:rsidR="004772C6" w:rsidRPr="00CB69DF" w:rsidRDefault="00000000" w:rsidP="00CB69DF">
      <w:pPr>
        <w:spacing w:before="120" w:after="120"/>
        <w:jc w:val="both"/>
        <w:rPr>
          <w:rFonts w:ascii="Times New Roman" w:hAnsi="Times New Roman" w:cs="Times New Roman"/>
          <w:sz w:val="20"/>
          <w:szCs w:val="20"/>
        </w:rPr>
      </w:pPr>
      <w:r w:rsidRPr="00CB69DF">
        <w:rPr>
          <w:rFonts w:ascii="Times New Roman" w:hAnsi="Times New Roman" w:cs="Times New Roman"/>
          <w:sz w:val="20"/>
          <w:szCs w:val="20"/>
        </w:rPr>
        <w:t xml:space="preserve">Gulrajani, I. et al. (2017) 'Improved training of Wasserstein GANs', in </w:t>
      </w:r>
      <w:r w:rsidRPr="00CB69DF">
        <w:rPr>
          <w:rFonts w:ascii="Times New Roman" w:hAnsi="Times New Roman" w:cs="Times New Roman"/>
          <w:i/>
          <w:sz w:val="20"/>
          <w:szCs w:val="20"/>
        </w:rPr>
        <w:t>Advances in Neural Information Processing Systems (NeurIPS) 30</w:t>
      </w:r>
      <w:r w:rsidRPr="00CB69DF">
        <w:rPr>
          <w:rFonts w:ascii="Times New Roman" w:hAnsi="Times New Roman" w:cs="Times New Roman"/>
          <w:sz w:val="20"/>
          <w:szCs w:val="20"/>
        </w:rPr>
        <w:t>. Long Beach, CA, pp. 5767-5777.</w:t>
      </w:r>
    </w:p>
    <w:p w14:paraId="10A99BE9" w14:textId="77777777" w:rsidR="004772C6" w:rsidRPr="00CB69DF" w:rsidRDefault="00000000" w:rsidP="00CB69DF">
      <w:pPr>
        <w:spacing w:before="120" w:after="120"/>
        <w:jc w:val="both"/>
        <w:rPr>
          <w:rFonts w:ascii="Times New Roman" w:hAnsi="Times New Roman" w:cs="Times New Roman"/>
          <w:sz w:val="20"/>
          <w:szCs w:val="20"/>
        </w:rPr>
      </w:pPr>
      <w:r w:rsidRPr="00CB69DF">
        <w:rPr>
          <w:rFonts w:ascii="Times New Roman" w:hAnsi="Times New Roman" w:cs="Times New Roman"/>
          <w:sz w:val="20"/>
          <w:szCs w:val="20"/>
        </w:rPr>
        <w:lastRenderedPageBreak/>
        <w:t xml:space="preserve">Ha, D. and Eck, D. (2018) 'A neural representation of sketch drawings', in </w:t>
      </w:r>
      <w:r w:rsidRPr="00CB69DF">
        <w:rPr>
          <w:rFonts w:ascii="Times New Roman" w:hAnsi="Times New Roman" w:cs="Times New Roman"/>
          <w:i/>
          <w:sz w:val="20"/>
          <w:szCs w:val="20"/>
        </w:rPr>
        <w:t>International Conference on Learning Representations (ICLR)</w:t>
      </w:r>
      <w:r w:rsidRPr="00CB69DF">
        <w:rPr>
          <w:rFonts w:ascii="Times New Roman" w:hAnsi="Times New Roman" w:cs="Times New Roman"/>
          <w:sz w:val="20"/>
          <w:szCs w:val="20"/>
        </w:rPr>
        <w:t>. Vancouver.</w:t>
      </w:r>
    </w:p>
    <w:p w14:paraId="55CEE913" w14:textId="77777777" w:rsidR="004772C6" w:rsidRPr="00CB69DF" w:rsidRDefault="00000000" w:rsidP="00CB69DF">
      <w:pPr>
        <w:spacing w:before="120" w:after="120"/>
        <w:jc w:val="both"/>
        <w:rPr>
          <w:rFonts w:ascii="Times New Roman" w:hAnsi="Times New Roman" w:cs="Times New Roman"/>
          <w:sz w:val="20"/>
          <w:szCs w:val="20"/>
        </w:rPr>
      </w:pPr>
      <w:r w:rsidRPr="00CB69DF">
        <w:rPr>
          <w:rFonts w:ascii="Times New Roman" w:hAnsi="Times New Roman" w:cs="Times New Roman"/>
          <w:sz w:val="20"/>
          <w:szCs w:val="20"/>
        </w:rPr>
        <w:t xml:space="preserve">Heusel, M. et al. (2017) 'GANs trained by a two time-scale update rule converge to a local Nash equilibrium', in </w:t>
      </w:r>
      <w:r w:rsidRPr="00CB69DF">
        <w:rPr>
          <w:rFonts w:ascii="Times New Roman" w:hAnsi="Times New Roman" w:cs="Times New Roman"/>
          <w:i/>
          <w:sz w:val="20"/>
          <w:szCs w:val="20"/>
        </w:rPr>
        <w:t>Advances in Neural Information Processing Systems (NeurIPS) 30</w:t>
      </w:r>
      <w:r w:rsidRPr="00CB69DF">
        <w:rPr>
          <w:rFonts w:ascii="Times New Roman" w:hAnsi="Times New Roman" w:cs="Times New Roman"/>
          <w:sz w:val="20"/>
          <w:szCs w:val="20"/>
        </w:rPr>
        <w:t>. Long Beach, CA, pp. 6626-6637.</w:t>
      </w:r>
    </w:p>
    <w:p w14:paraId="7DD056EA" w14:textId="77777777" w:rsidR="004772C6" w:rsidRPr="00CB69DF" w:rsidRDefault="00000000" w:rsidP="00CB69DF">
      <w:pPr>
        <w:spacing w:before="120" w:after="120"/>
        <w:jc w:val="both"/>
        <w:rPr>
          <w:rFonts w:ascii="Times New Roman" w:hAnsi="Times New Roman" w:cs="Times New Roman"/>
          <w:sz w:val="20"/>
          <w:szCs w:val="20"/>
        </w:rPr>
      </w:pPr>
      <w:r w:rsidRPr="00CB69DF">
        <w:rPr>
          <w:rFonts w:ascii="Times New Roman" w:hAnsi="Times New Roman" w:cs="Times New Roman"/>
          <w:sz w:val="20"/>
          <w:szCs w:val="20"/>
        </w:rPr>
        <w:t xml:space="preserve">Klambauer, G. et al. (2017) 'Self-normalizing neural networks', in </w:t>
      </w:r>
      <w:r w:rsidRPr="00CB69DF">
        <w:rPr>
          <w:rFonts w:ascii="Times New Roman" w:hAnsi="Times New Roman" w:cs="Times New Roman"/>
          <w:i/>
          <w:sz w:val="20"/>
          <w:szCs w:val="20"/>
        </w:rPr>
        <w:t>Advances in Neural Information Processing Systems (NeurIPS) 30</w:t>
      </w:r>
      <w:r w:rsidRPr="00CB69DF">
        <w:rPr>
          <w:rFonts w:ascii="Times New Roman" w:hAnsi="Times New Roman" w:cs="Times New Roman"/>
          <w:sz w:val="20"/>
          <w:szCs w:val="20"/>
        </w:rPr>
        <w:t>. Long Beach, CA, pp. 971-980.</w:t>
      </w:r>
    </w:p>
    <w:p w14:paraId="3CA3471E" w14:textId="77777777" w:rsidR="004772C6" w:rsidRPr="00CB69DF" w:rsidRDefault="00000000" w:rsidP="00CB69DF">
      <w:pPr>
        <w:spacing w:before="120" w:after="120"/>
        <w:jc w:val="both"/>
        <w:rPr>
          <w:rFonts w:ascii="Times New Roman" w:hAnsi="Times New Roman" w:cs="Times New Roman"/>
          <w:sz w:val="20"/>
          <w:szCs w:val="20"/>
        </w:rPr>
      </w:pPr>
      <w:r w:rsidRPr="00CB69DF">
        <w:rPr>
          <w:rFonts w:ascii="Times New Roman" w:hAnsi="Times New Roman" w:cs="Times New Roman"/>
          <w:sz w:val="20"/>
          <w:szCs w:val="20"/>
        </w:rPr>
        <w:t xml:space="preserve">Mirza, M. and Osindero, S. (2014) 'Conditional generative adversarial nets', </w:t>
      </w:r>
      <w:r w:rsidRPr="00CB69DF">
        <w:rPr>
          <w:rFonts w:ascii="Times New Roman" w:hAnsi="Times New Roman" w:cs="Times New Roman"/>
          <w:i/>
          <w:sz w:val="20"/>
          <w:szCs w:val="20"/>
        </w:rPr>
        <w:t>arXiv preprint</w:t>
      </w:r>
      <w:r w:rsidRPr="00CB69DF">
        <w:rPr>
          <w:rFonts w:ascii="Times New Roman" w:hAnsi="Times New Roman" w:cs="Times New Roman"/>
          <w:sz w:val="20"/>
          <w:szCs w:val="20"/>
        </w:rPr>
        <w:t xml:space="preserve"> arXiv:1411.1784.</w:t>
      </w:r>
    </w:p>
    <w:p w14:paraId="5EEC2A54" w14:textId="77777777" w:rsidR="004772C6" w:rsidRPr="00CB69DF" w:rsidRDefault="00000000" w:rsidP="00CB69DF">
      <w:pPr>
        <w:spacing w:before="120" w:after="120"/>
        <w:jc w:val="both"/>
        <w:rPr>
          <w:rFonts w:ascii="Times New Roman" w:hAnsi="Times New Roman" w:cs="Times New Roman"/>
          <w:sz w:val="20"/>
          <w:szCs w:val="20"/>
        </w:rPr>
      </w:pPr>
      <w:r w:rsidRPr="00CB69DF">
        <w:rPr>
          <w:rFonts w:ascii="Times New Roman" w:hAnsi="Times New Roman" w:cs="Times New Roman"/>
          <w:sz w:val="20"/>
          <w:szCs w:val="20"/>
        </w:rPr>
        <w:t xml:space="preserve">Radford, A., Metz, L. and Chintala, S. (2015) 'Unsupervised representation learning with deep convolutional generative adversarial networks', </w:t>
      </w:r>
      <w:r w:rsidRPr="00CB69DF">
        <w:rPr>
          <w:rFonts w:ascii="Times New Roman" w:hAnsi="Times New Roman" w:cs="Times New Roman"/>
          <w:i/>
          <w:sz w:val="20"/>
          <w:szCs w:val="20"/>
        </w:rPr>
        <w:t>arXiv preprint</w:t>
      </w:r>
      <w:r w:rsidRPr="00CB69DF">
        <w:rPr>
          <w:rFonts w:ascii="Times New Roman" w:hAnsi="Times New Roman" w:cs="Times New Roman"/>
          <w:sz w:val="20"/>
          <w:szCs w:val="20"/>
        </w:rPr>
        <w:t xml:space="preserve"> arXiv:1511.06434.</w:t>
      </w:r>
    </w:p>
    <w:p w14:paraId="2520CFF4" w14:textId="77777777" w:rsidR="004772C6" w:rsidRPr="00CB69DF" w:rsidRDefault="00000000" w:rsidP="00CB69DF">
      <w:pPr>
        <w:spacing w:before="120" w:after="120"/>
        <w:jc w:val="both"/>
        <w:rPr>
          <w:rFonts w:ascii="Times New Roman" w:hAnsi="Times New Roman" w:cs="Times New Roman"/>
          <w:sz w:val="20"/>
          <w:szCs w:val="20"/>
        </w:rPr>
      </w:pPr>
      <w:r w:rsidRPr="00CB69DF">
        <w:rPr>
          <w:rFonts w:ascii="Times New Roman" w:hAnsi="Times New Roman" w:cs="Times New Roman"/>
          <w:sz w:val="20"/>
          <w:szCs w:val="20"/>
        </w:rPr>
        <w:t xml:space="preserve">Sharafaldin, I., Lashkari, A.H. and Ghorbani, A.A. (2018) 'Toward generating a new intrusion detection dataset and intrusion traffic characterization', in </w:t>
      </w:r>
      <w:r w:rsidRPr="00CB69DF">
        <w:rPr>
          <w:rFonts w:ascii="Times New Roman" w:hAnsi="Times New Roman" w:cs="Times New Roman"/>
          <w:i/>
          <w:sz w:val="20"/>
          <w:szCs w:val="20"/>
        </w:rPr>
        <w:t>Proceedings of the 4th International Conference on Information Systems Security and Privacy (ICISSP)</w:t>
      </w:r>
      <w:r w:rsidRPr="00CB69DF">
        <w:rPr>
          <w:rFonts w:ascii="Times New Roman" w:hAnsi="Times New Roman" w:cs="Times New Roman"/>
          <w:sz w:val="20"/>
          <w:szCs w:val="20"/>
        </w:rPr>
        <w:t>. Funchal, pp. 108-116.</w:t>
      </w:r>
    </w:p>
    <w:p w14:paraId="76D68BA5" w14:textId="77777777" w:rsidR="004772C6" w:rsidRPr="00CB69DF" w:rsidRDefault="00000000" w:rsidP="00CB69DF">
      <w:pPr>
        <w:spacing w:before="120" w:after="120"/>
        <w:jc w:val="both"/>
        <w:rPr>
          <w:rFonts w:ascii="Times New Roman" w:hAnsi="Times New Roman" w:cs="Times New Roman"/>
          <w:sz w:val="20"/>
          <w:szCs w:val="20"/>
        </w:rPr>
      </w:pPr>
      <w:r w:rsidRPr="00CB69DF">
        <w:rPr>
          <w:rFonts w:ascii="Times New Roman" w:hAnsi="Times New Roman" w:cs="Times New Roman"/>
          <w:sz w:val="20"/>
          <w:szCs w:val="20"/>
        </w:rPr>
        <w:t xml:space="preserve">van der Maaten, L. and Hinton, G. (2008) 'Visualizing data using t-SNE', </w:t>
      </w:r>
      <w:r w:rsidRPr="00CB69DF">
        <w:rPr>
          <w:rFonts w:ascii="Times New Roman" w:hAnsi="Times New Roman" w:cs="Times New Roman"/>
          <w:i/>
          <w:sz w:val="20"/>
          <w:szCs w:val="20"/>
        </w:rPr>
        <w:t>Journal of Machine Learning Research</w:t>
      </w:r>
      <w:r w:rsidRPr="00CB69DF">
        <w:rPr>
          <w:rFonts w:ascii="Times New Roman" w:hAnsi="Times New Roman" w:cs="Times New Roman"/>
          <w:sz w:val="20"/>
          <w:szCs w:val="20"/>
        </w:rPr>
        <w:t>, 9, pp. 2579-2605.</w:t>
      </w:r>
    </w:p>
    <w:p w14:paraId="1FB82823" w14:textId="77777777" w:rsidR="004772C6" w:rsidRPr="00CB69DF" w:rsidRDefault="00000000" w:rsidP="00CB69DF">
      <w:pPr>
        <w:spacing w:before="120" w:after="120"/>
        <w:jc w:val="both"/>
        <w:rPr>
          <w:rFonts w:ascii="Times New Roman" w:hAnsi="Times New Roman" w:cs="Times New Roman"/>
          <w:sz w:val="20"/>
          <w:szCs w:val="20"/>
        </w:rPr>
      </w:pPr>
      <w:r w:rsidRPr="00CB69DF">
        <w:rPr>
          <w:rFonts w:ascii="Times New Roman" w:hAnsi="Times New Roman" w:cs="Times New Roman"/>
          <w:sz w:val="20"/>
          <w:szCs w:val="20"/>
        </w:rPr>
        <w:t xml:space="preserve">Yang, J. et al. (2023) 'MedMNIST v2 - a large-scale lightweight benchmark for 2D and 3D biomedical image classification', </w:t>
      </w:r>
      <w:r w:rsidRPr="00CB69DF">
        <w:rPr>
          <w:rFonts w:ascii="Times New Roman" w:hAnsi="Times New Roman" w:cs="Times New Roman"/>
          <w:i/>
          <w:sz w:val="20"/>
          <w:szCs w:val="20"/>
        </w:rPr>
        <w:t>Scientific Data</w:t>
      </w:r>
      <w:r w:rsidRPr="00CB69DF">
        <w:rPr>
          <w:rFonts w:ascii="Times New Roman" w:hAnsi="Times New Roman" w:cs="Times New Roman"/>
          <w:sz w:val="20"/>
          <w:szCs w:val="20"/>
        </w:rPr>
        <w:t>, 10(1), 41.</w:t>
      </w:r>
    </w:p>
    <w:sectPr w:rsidR="004772C6" w:rsidRPr="00CB69D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2C6"/>
    <w:rsid w:val="004772C6"/>
    <w:rsid w:val="00CB69DF"/>
    <w:rsid w:val="00E071A7"/>
    <w:rsid w:val="00E36AD5"/>
    <w:rsid w:val="00FC16A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6614F"/>
  <w15:docId w15:val="{1144DAEC-4DBE-493E-A042-0362E3927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2359</Words>
  <Characters>13448</Characters>
  <Application>Microsoft Office Word</Application>
  <DocSecurity>0</DocSecurity>
  <Lines>112</Lines>
  <Paragraphs>31</Paragraphs>
  <ScaleCrop>false</ScaleCrop>
  <Company/>
  <LinksUpToDate>false</LinksUpToDate>
  <CharactersWithSpaces>15776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Nithin Reddy Cheerapureddy</dc:creator>
  <cp:lastModifiedBy>Nithin Reddy Cheerapureddy</cp:lastModifiedBy>
  <cp:revision>2</cp:revision>
  <dcterms:created xsi:type="dcterms:W3CDTF">2026-07-29T16:48:00Z</dcterms:created>
  <dcterms:modified xsi:type="dcterms:W3CDTF">2026-07-29T16:48:00Z</dcterms:modified>
</cp:coreProperties>
</file>