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7F758" w14:textId="77777777" w:rsidR="004772C6" w:rsidRPr="00CB69DF" w:rsidRDefault="00000000" w:rsidP="00CB69DF">
      <w:pPr>
        <w:spacing w:before="120" w:after="200"/>
        <w:jc w:val="center"/>
        <w:rPr>
          <w:rFonts w:ascii="Times New Roman" w:hAnsi="Times New Roman" w:cs="Times New Roman"/>
          <w:sz w:val="32"/>
          <w:szCs w:val="32"/>
        </w:rPr>
      </w:pPr>
      <w:r w:rsidRPr="00CB69DF">
        <w:rPr>
          <w:rFonts w:ascii="Times New Roman" w:hAnsi="Times New Roman" w:cs="Times New Roman"/>
          <w:b/>
          <w:sz w:val="32"/>
          <w:szCs w:val="32"/>
        </w:rPr>
        <w:t>Generative Adversarial Networks: From Synthetic 2D Data to Medical, Cybersecurity and Creative Applications</w:t>
      </w:r>
    </w:p>
    <w:p w14:paraId="4363742A" w14:textId="131D917A" w:rsidR="00CB69DF" w:rsidRDefault="00CB69DF" w:rsidP="00CB69DF">
      <w:pPr>
        <w:spacing w:before="240" w:after="100"/>
        <w:jc w:val="both"/>
        <w:rPr>
          <w:rFonts w:ascii="Times New Roman" w:hAnsi="Times New Roman" w:cs="Times New Roman"/>
          <w:b/>
        </w:rPr>
      </w:pPr>
      <w:r>
        <w:rPr>
          <w:rFonts w:ascii="Times New Roman" w:hAnsi="Times New Roman" w:cs="Times New Roman"/>
          <w:b/>
        </w:rPr>
        <w:t xml:space="preserve">Student Name: </w:t>
      </w:r>
    </w:p>
    <w:p w14:paraId="174265A2" w14:textId="38F6D73C" w:rsidR="00CB69DF" w:rsidRDefault="00CB69DF" w:rsidP="00CB69DF">
      <w:pPr>
        <w:spacing w:before="240" w:after="100"/>
        <w:jc w:val="both"/>
        <w:rPr>
          <w:rFonts w:ascii="Times New Roman" w:hAnsi="Times New Roman" w:cs="Times New Roman"/>
          <w:b/>
        </w:rPr>
      </w:pPr>
      <w:r>
        <w:rPr>
          <w:rFonts w:ascii="Times New Roman" w:hAnsi="Times New Roman" w:cs="Times New Roman"/>
          <w:b/>
        </w:rPr>
        <w:t>Student ID:</w:t>
      </w:r>
    </w:p>
    <w:p w14:paraId="11233665" w14:textId="727B2111" w:rsidR="00CB69DF" w:rsidRDefault="00CB69DF" w:rsidP="00CB69DF">
      <w:pPr>
        <w:spacing w:before="240" w:after="100"/>
        <w:jc w:val="both"/>
        <w:rPr>
          <w:rFonts w:ascii="Times New Roman" w:hAnsi="Times New Roman" w:cs="Times New Roman"/>
          <w:b/>
        </w:rPr>
      </w:pPr>
      <w:r>
        <w:rPr>
          <w:rFonts w:ascii="Times New Roman" w:hAnsi="Times New Roman" w:cs="Times New Roman"/>
          <w:b/>
        </w:rPr>
        <w:t>Github URL: https://github.com/nithinreddy2003/GAN_Assignments</w:t>
      </w:r>
    </w:p>
    <w:p w14:paraId="0B0CC047" w14:textId="77777777" w:rsidR="00CB69DF" w:rsidRDefault="00CB69DF" w:rsidP="00CB69DF">
      <w:pPr>
        <w:spacing w:before="240" w:after="100"/>
        <w:jc w:val="both"/>
        <w:rPr>
          <w:rFonts w:ascii="Times New Roman" w:hAnsi="Times New Roman" w:cs="Times New Roman"/>
          <w:b/>
        </w:rPr>
      </w:pPr>
    </w:p>
    <w:p w14:paraId="1A18BA05" w14:textId="6049D211" w:rsidR="004772C6" w:rsidRPr="00CB69DF" w:rsidRDefault="00000000" w:rsidP="00CB69DF">
      <w:pPr>
        <w:spacing w:before="240" w:after="100"/>
        <w:jc w:val="both"/>
        <w:rPr>
          <w:rFonts w:ascii="Times New Roman" w:hAnsi="Times New Roman" w:cs="Times New Roman"/>
        </w:rPr>
      </w:pPr>
      <w:r w:rsidRPr="00CB69DF">
        <w:rPr>
          <w:rFonts w:ascii="Times New Roman" w:hAnsi="Times New Roman" w:cs="Times New Roman"/>
          <w:b/>
        </w:rPr>
        <w:t>1. Introduction</w:t>
      </w:r>
    </w:p>
    <w:p w14:paraId="41A51D7F"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This report documents building generative adversarial networks (GANs) from scratch and applying them to three real-world problems. A GAN pairs a generator that maps noise to samples against a discriminator that separates real from generated data; trained together in a minimax game, the generated distribution should eventually match the real one (Goodfellow et al., 2014). Part 1 reinforces the mechanics on controllable 2D data where success is judged by eye. Part 2 moves to harder data in medicine (OCTMNIST), cybersecurity (CICIDS 2017) and creative sketching (QuickDraw). My focus throughout is interpreting </w:t>
      </w:r>
      <w:r w:rsidRPr="00CB69DF">
        <w:rPr>
          <w:rFonts w:ascii="Times New Roman" w:hAnsi="Times New Roman" w:cs="Times New Roman"/>
          <w:i/>
          <w:sz w:val="20"/>
          <w:szCs w:val="20"/>
        </w:rPr>
        <w:t>why</w:t>
      </w:r>
      <w:r w:rsidRPr="00CB69DF">
        <w:rPr>
          <w:rFonts w:ascii="Times New Roman" w:hAnsi="Times New Roman" w:cs="Times New Roman"/>
          <w:sz w:val="20"/>
          <w:szCs w:val="20"/>
        </w:rPr>
        <w:t xml:space="preserve"> an architecture suits each dataset and what the loss curves, projections and Fréchet Inception Distance (FID) scores reveal about sample quality. Every figure and number below comes directly from the notebook, and a fixed seed (42) is re-applied before each run for reproducibility.</w:t>
      </w:r>
    </w:p>
    <w:p w14:paraId="76695625" w14:textId="77777777" w:rsidR="004772C6" w:rsidRPr="00CB69DF" w:rsidRDefault="00000000" w:rsidP="00CB69DF">
      <w:pPr>
        <w:spacing w:before="240" w:after="100"/>
        <w:jc w:val="both"/>
        <w:rPr>
          <w:rFonts w:ascii="Times New Roman" w:hAnsi="Times New Roman" w:cs="Times New Roman"/>
        </w:rPr>
      </w:pPr>
      <w:r w:rsidRPr="00CB69DF">
        <w:rPr>
          <w:rFonts w:ascii="Times New Roman" w:hAnsi="Times New Roman" w:cs="Times New Roman"/>
          <w:b/>
        </w:rPr>
        <w:t>Part 1: Building and Understanding GANs from Scratch</w:t>
      </w:r>
    </w:p>
    <w:p w14:paraId="421AAE72"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The generator and discriminator are small multi-layer perceptrons (MLPs) built by one configurable factory, so Task 3's architecture change reuses the same training loop. Training uses the non-saturating objective through BCEWithLogitsLoss, which avoids the early vanishing gradients of the original minimax loss (Goodfellow et al., 2014), optimised with Adam. MLPs suit this data because 2D coordinates have no spatial grid for a convolution to exploit.</w:t>
      </w:r>
    </w:p>
    <w:p w14:paraId="14A31F90"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Task 1: Reproduce the sine-wave GAN</w:t>
      </w:r>
    </w:p>
    <w:p w14:paraId="50FE8A1D" w14:textId="77777777" w:rsidR="004772C6" w:rsidRPr="00CB69DF" w:rsidRDefault="00000000" w:rsidP="00CB69DF">
      <w:pPr>
        <w:spacing w:before="120" w:after="120"/>
        <w:jc w:val="both"/>
        <w:rPr>
          <w:rFonts w:ascii="Times New Roman" w:hAnsi="Times New Roman" w:cs="Times New Roman"/>
        </w:rPr>
      </w:pPr>
      <w:r w:rsidRPr="00CB69DF">
        <w:rPr>
          <w:rFonts w:ascii="Times New Roman" w:hAnsi="Times New Roman" w:cs="Times New Roman"/>
          <w:sz w:val="22"/>
          <w:szCs w:val="22"/>
        </w:rPr>
        <w:t>The baseline is a 16-d latent vector feeding a width-128, depth-2 ReLU network, trained for 6,000 steps against y = sin(x) on [-π, π], mainly as a sanity check on the shared code.</w:t>
      </w:r>
    </w:p>
    <w:p w14:paraId="50055A38" w14:textId="77777777" w:rsidR="004772C6" w:rsidRPr="00CB69DF" w:rsidRDefault="00000000" w:rsidP="00CB69DF">
      <w:pPr>
        <w:spacing w:before="120" w:after="120"/>
        <w:jc w:val="center"/>
        <w:rPr>
          <w:rFonts w:ascii="Times New Roman" w:hAnsi="Times New Roman" w:cs="Times New Roman"/>
        </w:rPr>
      </w:pPr>
      <w:r w:rsidRPr="00CB69DF">
        <w:rPr>
          <w:rFonts w:ascii="Times New Roman" w:hAnsi="Times New Roman" w:cs="Times New Roman"/>
          <w:noProof/>
        </w:rPr>
        <w:drawing>
          <wp:inline distT="0" distB="0" distL="0" distR="0" wp14:anchorId="76E88F78" wp14:editId="4A31C9C5">
            <wp:extent cx="2150266" cy="2194560"/>
            <wp:effectExtent l="0" t="0" r="0" b="0"/>
            <wp:docPr id="10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png"/>
                    <pic:cNvPicPr/>
                  </pic:nvPicPr>
                  <pic:blipFill>
                    <a:blip r:embed="rId4"/>
                    <a:stretch>
                      <a:fillRect/>
                    </a:stretch>
                  </pic:blipFill>
                  <pic:spPr>
                    <a:xfrm>
                      <a:off x="0" y="0"/>
                      <a:ext cx="2150266" cy="2194560"/>
                    </a:xfrm>
                    <a:prstGeom prst="rect">
                      <a:avLst/>
                    </a:prstGeom>
                  </pic:spPr>
                </pic:pic>
              </a:graphicData>
            </a:graphic>
          </wp:inline>
        </w:drawing>
      </w:r>
    </w:p>
    <w:p w14:paraId="7862EE75" w14:textId="77777777" w:rsidR="004772C6" w:rsidRPr="00CB69DF" w:rsidRDefault="00000000" w:rsidP="00CB69DF">
      <w:pPr>
        <w:spacing w:before="40" w:after="200"/>
        <w:jc w:val="center"/>
        <w:rPr>
          <w:rFonts w:ascii="Times New Roman" w:hAnsi="Times New Roman" w:cs="Times New Roman"/>
          <w:b/>
          <w:i/>
          <w:iCs/>
        </w:rPr>
      </w:pPr>
      <w:r w:rsidRPr="00CB69DF">
        <w:rPr>
          <w:rFonts w:ascii="Times New Roman" w:hAnsi="Times New Roman" w:cs="Times New Roman"/>
          <w:b/>
          <w:i/>
          <w:iCs/>
          <w:sz w:val="18"/>
          <w:szCs w:val="18"/>
        </w:rPr>
        <w:t>Figure 1. Real versus generated samples for the sine-wave GAN.</w:t>
      </w:r>
    </w:p>
    <w:p w14:paraId="0662EFB9"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1 shows generated points lying along the true curve, with only minor scatter near the turning points where the nonlinearity is greatest. The losses settle at equilibrium and hold, with the discriminator around 1.38 and the generator around 0.70 (final D=1.3778, G=0.6964). A discriminator loss near 2*ln(2), about 1.386, signals a balanced game in which it can no longer separate real from fake, so the pipeline behaves as intended.</w:t>
      </w:r>
    </w:p>
    <w:p w14:paraId="1C93515E"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Task 2 and Task 3: A new 2D distribution and an architecture change</w:t>
      </w:r>
    </w:p>
    <w:p w14:paraId="5AA54FB9"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For the new distribution I chose a mixture of Gaussians: eight isotropic modes on a ring of radius 2.0 with per-mode standard deviation 0.05, trained for 8,000 steps. A ring of well-separated modes is the standard probe for mode collapse, since a collapsed generator would cover only some of the eight blobs. Task 3 then changes only the network, moving from the 2x128 ReLU baseline to a deeper, wider 4x256 network with the self-normalising SELU activation (Klambauer et al., 2017), which keeps activations well-scaled in deeper stacks.</w:t>
      </w:r>
    </w:p>
    <w:p w14:paraId="12F05E7A"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4A3F2372" wp14:editId="09D91759">
            <wp:extent cx="4105575" cy="2194560"/>
            <wp:effectExtent l="0" t="0" r="0" b="0"/>
            <wp:docPr id="10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2.png"/>
                    <pic:cNvPicPr/>
                  </pic:nvPicPr>
                  <pic:blipFill>
                    <a:blip r:embed="rId5"/>
                    <a:stretch>
                      <a:fillRect/>
                    </a:stretch>
                  </pic:blipFill>
                  <pic:spPr>
                    <a:xfrm>
                      <a:off x="0" y="0"/>
                      <a:ext cx="4105575" cy="2194560"/>
                    </a:xfrm>
                    <a:prstGeom prst="rect">
                      <a:avLst/>
                    </a:prstGeom>
                  </pic:spPr>
                </pic:pic>
              </a:graphicData>
            </a:graphic>
          </wp:inline>
        </w:drawing>
      </w:r>
    </w:p>
    <w:p w14:paraId="2A6521DF"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2. Architecture comparison on the mixture of Gaussians.</w:t>
      </w:r>
    </w:p>
    <w:p w14:paraId="04D140A8"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2 captures both tasks at once. The baseline (left) reaches all eight modes, so there is no hard mode collapse, but the red cloud is loose and fills the gaps between blobs instead of sitting on the centres, the classic 'covers the modes but not sharply' behaviour of a small vanilla GAN. The enhanced network (right) tightens the samples onto the mode centres and traces a clean ring. Losses stay stable in both cases (enhanced ends at D=1.4444, G=0.8657), so the extra depth, width and smoother activation buy sample sharpness, not a fix for a collapse that never occurred. For this target, capacity and activation control sharpness while coverage was already fine.</w:t>
      </w:r>
    </w:p>
    <w:p w14:paraId="6AAA1BEF" w14:textId="77777777" w:rsidR="004772C6" w:rsidRPr="00CB69DF" w:rsidRDefault="00000000" w:rsidP="00CB69DF">
      <w:pPr>
        <w:spacing w:before="240" w:after="100"/>
        <w:jc w:val="both"/>
        <w:rPr>
          <w:rFonts w:ascii="Times New Roman" w:hAnsi="Times New Roman" w:cs="Times New Roman"/>
        </w:rPr>
      </w:pPr>
      <w:r w:rsidRPr="00CB69DF">
        <w:rPr>
          <w:rFonts w:ascii="Times New Roman" w:hAnsi="Times New Roman" w:cs="Times New Roman"/>
          <w:b/>
        </w:rPr>
        <w:t>Part 2: Real-World GAN Applications</w:t>
      </w:r>
    </w:p>
    <w:p w14:paraId="1AFE94CA"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Part 2.1: Optical coherence tomography (OCT) retinal images with MedMNIST</w:t>
      </w:r>
    </w:p>
    <w:p w14:paraId="339ED19D"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OCTMNIST is a MedMNIST subset of 28×28 greyscale retinal OCT scans in four diagnostic classes (Yang et al., 2023). I train a DCGAN, which suits images because it replaces dense layers with strided and transposed convolutions, adds BatchNorm and LeakyReLU/ReLU activations, and uses a weight-init recipe shown to stabilise image GANs (Radford et al., 2015). Images are worked at 32×32 (a clean power of two for the four conv stages) and scaled to [-1, 1] to match the generator's Tanh.</w:t>
      </w:r>
    </w:p>
    <w:p w14:paraId="6EDC51C5" w14:textId="77777777" w:rsidR="004772C6"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AE58847" wp14:editId="449068BB">
            <wp:extent cx="3871429" cy="2194560"/>
            <wp:effectExtent l="0" t="0" r="0" b="0"/>
            <wp:docPr id="10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3.png"/>
                    <pic:cNvPicPr/>
                  </pic:nvPicPr>
                  <pic:blipFill>
                    <a:blip r:embed="rId6"/>
                    <a:stretch>
                      <a:fillRect/>
                    </a:stretch>
                  </pic:blipFill>
                  <pic:spPr>
                    <a:xfrm>
                      <a:off x="0" y="0"/>
                      <a:ext cx="3871429" cy="2194560"/>
                    </a:xfrm>
                    <a:prstGeom prst="rect">
                      <a:avLst/>
                    </a:prstGeom>
                  </pic:spPr>
                </pic:pic>
              </a:graphicData>
            </a:graphic>
          </wp:inline>
        </w:drawing>
      </w:r>
    </w:p>
    <w:p w14:paraId="1539D553"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3. Class distribution of the OCTMNIST training split.</w:t>
      </w:r>
    </w:p>
    <w:p w14:paraId="66B99436"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The data have four classes (choroidal neovascularisation, diabetic macular oedema, drusen, normal) and a training split of shape (97477, 28, 28). Figure 3 shows a marked imbalance of roughly 6:1, which matters for the conditional extension, because without correction the minority classes barely train. The unconditional DCGAN uses a random 40,000-image subset.</w:t>
      </w:r>
    </w:p>
    <w:p w14:paraId="7877CB42"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4B8D8194" wp14:editId="1EF1EDB1">
            <wp:extent cx="3805401" cy="2194560"/>
            <wp:effectExtent l="0" t="0" r="0" b="0"/>
            <wp:docPr id="10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4.png"/>
                    <pic:cNvPicPr/>
                  </pic:nvPicPr>
                  <pic:blipFill>
                    <a:blip r:embed="rId7"/>
                    <a:stretch>
                      <a:fillRect/>
                    </a:stretch>
                  </pic:blipFill>
                  <pic:spPr>
                    <a:xfrm>
                      <a:off x="0" y="0"/>
                      <a:ext cx="3805401" cy="2194560"/>
                    </a:xfrm>
                    <a:prstGeom prst="rect">
                      <a:avLst/>
                    </a:prstGeom>
                  </pic:spPr>
                </pic:pic>
              </a:graphicData>
            </a:graphic>
          </wp:inline>
        </w:drawing>
      </w:r>
    </w:p>
    <w:p w14:paraId="26BD958B"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4. Generator/discriminator losses during OCTMNIST DCGAN training.</w:t>
      </w:r>
    </w:p>
    <w:p w14:paraId="521EC4FF"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4 tracks 40 epochs. Training starts unbalanced (D=0.39, G=5.35 at epoch 1), with the discriminator dominating, then moves into a closer back-and-forth (D about 0.9 to 1.1, G about 1.3 to 2.6), the healthy shape of a DCGAN that is learning rather than collapsing. The occasional spike, for example epoch 19 at D=3.16, is normal adversarial oscillation and not divergence.</w:t>
      </w:r>
    </w:p>
    <w:p w14:paraId="017839C4"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362D353B" wp14:editId="4686E771">
            <wp:extent cx="4206240" cy="1846318"/>
            <wp:effectExtent l="0" t="0" r="0" b="0"/>
            <wp:docPr id="10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png"/>
                    <pic:cNvPicPr/>
                  </pic:nvPicPr>
                  <pic:blipFill rotWithShape="1">
                    <a:blip r:embed="rId8"/>
                    <a:srcRect t="35837"/>
                    <a:stretch>
                      <a:fillRect/>
                    </a:stretch>
                  </pic:blipFill>
                  <pic:spPr bwMode="auto">
                    <a:xfrm>
                      <a:off x="0" y="0"/>
                      <a:ext cx="4206240" cy="1846318"/>
                    </a:xfrm>
                    <a:prstGeom prst="rect">
                      <a:avLst/>
                    </a:prstGeom>
                    <a:ln>
                      <a:noFill/>
                    </a:ln>
                    <a:extLst>
                      <a:ext uri="{53640926-AAD7-44D8-BBD7-CCE9431645EC}">
                        <a14:shadowObscured xmlns:a14="http://schemas.microsoft.com/office/drawing/2010/main"/>
                      </a:ext>
                    </a:extLst>
                  </pic:spPr>
                </pic:pic>
              </a:graphicData>
            </a:graphic>
          </wp:inline>
        </w:drawing>
      </w:r>
    </w:p>
    <w:p w14:paraId="7C4CC07B" w14:textId="62F257B6"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 xml:space="preserve">Figure 5. Real </w:t>
      </w:r>
      <w:r w:rsidR="00CB69DF">
        <w:rPr>
          <w:rFonts w:ascii="Times New Roman" w:hAnsi="Times New Roman" w:cs="Times New Roman"/>
          <w:b/>
          <w:i/>
          <w:iCs/>
          <w:sz w:val="20"/>
          <w:szCs w:val="20"/>
        </w:rPr>
        <w:t>vs</w:t>
      </w:r>
      <w:r w:rsidRPr="00CB69DF">
        <w:rPr>
          <w:rFonts w:ascii="Times New Roman" w:hAnsi="Times New Roman" w:cs="Times New Roman"/>
          <w:b/>
          <w:i/>
          <w:iCs/>
          <w:sz w:val="20"/>
          <w:szCs w:val="20"/>
        </w:rPr>
        <w:t xml:space="preserve"> generated OCT scans, FID = 43.70.</w:t>
      </w:r>
    </w:p>
    <w:p w14:paraId="27813C4D"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5 compares real and generated scans, quantified with FID, which compares InceptionV3 feature statistics between the two sets (Heusel et al., 2017). The generator scores FID = 43.70. Visually the fakes capture the bright curved retinal band over a darker background and are varied and not collapsed, though they are softer with occasionally smeared sub-layers, consistent with a mid-40s FID at 32x32 after 40 epochs. I read the score as directional, since Inception was trained on natural RGB photos and not greyscale scans.</w:t>
      </w:r>
    </w:p>
    <w:p w14:paraId="23F32087"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b/>
          <w:sz w:val="20"/>
          <w:szCs w:val="20"/>
        </w:rPr>
        <w:t>Extension - conditional GAN.</w:t>
      </w:r>
      <w:r w:rsidRPr="00CB69DF">
        <w:rPr>
          <w:rFonts w:ascii="Times New Roman" w:hAnsi="Times New Roman" w:cs="Times New Roman"/>
          <w:sz w:val="20"/>
          <w:szCs w:val="20"/>
        </w:rPr>
        <w:t xml:space="preserve"> To generate a chosen class on demand I built a conditional DCGAN (Mirza and Osindero, 2014), embedding the label and concatenating it with the latent vector for the generator while adding it as a discriminator input channel.</w:t>
      </w:r>
    </w:p>
    <w:p w14:paraId="4133AA9E"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lastRenderedPageBreak/>
        <w:drawing>
          <wp:inline distT="0" distB="0" distL="0" distR="0" wp14:anchorId="1D3A8BFC" wp14:editId="069AB406">
            <wp:extent cx="3990109" cy="2194560"/>
            <wp:effectExtent l="0" t="0" r="0" b="0"/>
            <wp:docPr id="10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png"/>
                    <pic:cNvPicPr/>
                  </pic:nvPicPr>
                  <pic:blipFill>
                    <a:blip r:embed="rId9"/>
                    <a:stretch>
                      <a:fillRect/>
                    </a:stretch>
                  </pic:blipFill>
                  <pic:spPr>
                    <a:xfrm>
                      <a:off x="0" y="0"/>
                      <a:ext cx="3990109" cy="2194560"/>
                    </a:xfrm>
                    <a:prstGeom prst="rect">
                      <a:avLst/>
                    </a:prstGeom>
                  </pic:spPr>
                </pic:pic>
              </a:graphicData>
            </a:graphic>
          </wp:inline>
        </w:drawing>
      </w:r>
    </w:p>
    <w:p w14:paraId="7625457D"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6. Class-conditional samples from the cGAN extension.</w:t>
      </w:r>
    </w:p>
    <w:p w14:paraId="0EE7C14D"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A naïve version collapsed (discriminator loss to zero, generator loss diverging, noise output). Three fixes stabilised it: one-sided label smoothing (real target 0.9) to curb discriminator over-confidence, a two time-scale update rule with a slower discriminator (Heusel et al., 2017), and class-balanced sampling for the 6:1 imbalance. Figure 6 shows samples generated per class on request, with losses recovering from D=0.66, G=3.03 at epoch 1 into a stable range. The between-class differences stay subtle, reflecting how similar these scans look even in the real data.</w:t>
      </w:r>
    </w:p>
    <w:p w14:paraId="6BEF683C"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The point behind the 'ducks' prompt is that the DCGAN has no idea it is looking at eyes; it only learns the statistics of a pile of 32x32 arrays. Swap in duck photos and the identical code learns those instead. That content-agnosticism is why the same recipe transfers across Part 2, but it is also the key limitation: the discriminator learns real versus fake and never anatomically plausible, so it can render convincing structure with no anatomical basis. Synthetic scans are fine for augmentation or teaching but should not feed a real diagnostic pipeline without expert review.</w:t>
      </w:r>
    </w:p>
    <w:p w14:paraId="5A7EA7A7"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Part 2.2: Cybersecurity - Synthetic Traffic with CICIDS 2017</w:t>
      </w:r>
    </w:p>
    <w:p w14:paraId="47F29433"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CICIDS 2017 stores each flow as roughly 78 numeric features rather than an image (Sharafaldin, Lashkari and Ghorbani, 2018). Because the data are tabular with no spatial locality, a convolutional DCGAN is inappropriate, so I use a </w:t>
      </w:r>
      <w:r w:rsidRPr="00CB69DF">
        <w:rPr>
          <w:rFonts w:ascii="Times New Roman" w:hAnsi="Times New Roman" w:cs="Times New Roman"/>
          <w:b/>
          <w:sz w:val="20"/>
          <w:szCs w:val="20"/>
        </w:rPr>
        <w:t>fully-connected GAN</w:t>
      </w:r>
      <w:r w:rsidRPr="00CB69DF">
        <w:rPr>
          <w:rFonts w:ascii="Times New Roman" w:hAnsi="Times New Roman" w:cs="Times New Roman"/>
          <w:sz w:val="20"/>
          <w:szCs w:val="20"/>
        </w:rPr>
        <w:t xml:space="preserve"> that keeps the DCGAN </w:t>
      </w:r>
      <w:r w:rsidRPr="00CB69DF">
        <w:rPr>
          <w:rFonts w:ascii="Times New Roman" w:hAnsi="Times New Roman" w:cs="Times New Roman"/>
          <w:i/>
          <w:sz w:val="20"/>
          <w:szCs w:val="20"/>
        </w:rPr>
        <w:t>recipe</w:t>
      </w:r>
      <w:r w:rsidRPr="00CB69DF">
        <w:rPr>
          <w:rFonts w:ascii="Times New Roman" w:hAnsi="Times New Roman" w:cs="Times New Roman"/>
          <w:sz w:val="20"/>
          <w:szCs w:val="20"/>
        </w:rPr>
        <w:t xml:space="preserve"> (adversarial BCEWithLogitsLoss, generator BatchNorm, a LeakyReLU discriminator with dropout, Adam, label smoothing) but uses dense layers and a linear output, since the standardised features are unbounded. Following the brief, I combine all per-day CSVs, then train on Wednesday.</w:t>
      </w:r>
    </w:p>
    <w:p w14:paraId="402C3CE6"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5E7FE95D" wp14:editId="6C286FF8">
            <wp:extent cx="4206240" cy="1101702"/>
            <wp:effectExtent l="0" t="0" r="0" b="0"/>
            <wp:docPr id="107"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7.png"/>
                    <pic:cNvPicPr/>
                  </pic:nvPicPr>
                  <pic:blipFill>
                    <a:blip r:embed="rId10"/>
                    <a:stretch>
                      <a:fillRect/>
                    </a:stretch>
                  </pic:blipFill>
                  <pic:spPr>
                    <a:xfrm>
                      <a:off x="0" y="0"/>
                      <a:ext cx="4206240" cy="1101702"/>
                    </a:xfrm>
                    <a:prstGeom prst="rect">
                      <a:avLst/>
                    </a:prstGeom>
                  </pic:spPr>
                </pic:pic>
              </a:graphicData>
            </a:graphic>
          </wp:inline>
        </w:drawing>
      </w:r>
    </w:p>
    <w:p w14:paraId="7C290B42"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7. Combined CICIDS 2017 class balance and per-day volumes.</w:t>
      </w:r>
    </w:p>
    <w:p w14:paraId="4DA1DCA9"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Merging the eight files gives 2,830,743 flows across 80 columns with 78 numeric features, needing 4,376 infinite and 1,358 missing values cleaned. Figure 7 shows BENIGN dominating so heavily that a log scale is needed to see the attacks, an imbalance that foreshadows later difficulty with rare attacks. A label note: the brief says 'DDoS', but Wednesday contains single-source DoS attacks (Hulk, GoldenEye, slowloris, Slowhttptest), so I treat it as BENIGN vs DoS and flag the mismatch deliberately. Wednesday's largest labels are BENIGN = 440,031 and DoS Hulk = 231,073. Features are standardised and clipped to plus or minus 5 sigma so outliers cannot destabilise training, and the GAN trains on a 20,000-row sample for 60 epochs (ending D=1.0189, G=1.4104).</w:t>
      </w:r>
    </w:p>
    <w:p w14:paraId="559B18A2"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65C7F78" wp14:editId="3FFC13E3">
            <wp:extent cx="2500590" cy="2194560"/>
            <wp:effectExtent l="0" t="0" r="0" b="0"/>
            <wp:docPr id="108"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8.png"/>
                    <pic:cNvPicPr/>
                  </pic:nvPicPr>
                  <pic:blipFill>
                    <a:blip r:embed="rId11"/>
                    <a:stretch>
                      <a:fillRect/>
                    </a:stretch>
                  </pic:blipFill>
                  <pic:spPr>
                    <a:xfrm>
                      <a:off x="0" y="0"/>
                      <a:ext cx="2500590" cy="2194560"/>
                    </a:xfrm>
                    <a:prstGeom prst="rect">
                      <a:avLst/>
                    </a:prstGeom>
                  </pic:spPr>
                </pic:pic>
              </a:graphicData>
            </a:graphic>
          </wp:inline>
        </w:drawing>
      </w:r>
    </w:p>
    <w:p w14:paraId="3A0CE581"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8. t-SNE of real versus synthetic Wednesday traffic.</w:t>
      </w:r>
    </w:p>
    <w:p w14:paraId="1BCD59DC"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Since a feature vector cannot be eyeballed, I evaluate alignment via PCA (linear) and t-SNE (nonlinear, local structure; van der Maaten and Hinton, 2008). Figure 8 shows the synthetic cloud sitting on the dense BENIGN region and pushing partway into the DoS clusters without reproducing their separate structure. Quantitatively, the average absolute per-feature gap (standardised) is 0.1387 on the means and 0.2480 on the standard deviations. So the generator matches where most traffic lives and the typical feature values, but is smoother than the real data and misses the DoS tails, the usual result for a plain unconditional GAN on heavy-tailed, partly-binary features.</w:t>
      </w:r>
    </w:p>
    <w:p w14:paraId="2FFD1827"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b/>
          <w:sz w:val="20"/>
          <w:szCs w:val="20"/>
        </w:rPr>
        <w:t>Extension - all days and generalisation.</w:t>
      </w:r>
      <w:r w:rsidRPr="00CB69DF">
        <w:rPr>
          <w:rFonts w:ascii="Times New Roman" w:hAnsi="Times New Roman" w:cs="Times New Roman"/>
          <w:sz w:val="20"/>
          <w:szCs w:val="20"/>
        </w:rPr>
        <w:t xml:space="preserve"> Retraining on the full dataset (2,827,876 rows, 30,000 sampled) tests coverage across attack families.</w:t>
      </w:r>
    </w:p>
    <w:p w14:paraId="1B9451BC"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72A2085F" wp14:editId="6151A375">
            <wp:extent cx="2810647" cy="2194560"/>
            <wp:effectExtent l="0" t="0" r="0" b="0"/>
            <wp:docPr id="10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9.png"/>
                    <pic:cNvPicPr/>
                  </pic:nvPicPr>
                  <pic:blipFill>
                    <a:blip r:embed="rId12"/>
                    <a:stretch>
                      <a:fillRect/>
                    </a:stretch>
                  </pic:blipFill>
                  <pic:spPr>
                    <a:xfrm>
                      <a:off x="0" y="0"/>
                      <a:ext cx="2810647" cy="2194560"/>
                    </a:xfrm>
                    <a:prstGeom prst="rect">
                      <a:avLst/>
                    </a:prstGeom>
                  </pic:spPr>
                </pic:pic>
              </a:graphicData>
            </a:graphic>
          </wp:inline>
        </w:drawing>
      </w:r>
    </w:p>
    <w:p w14:paraId="24104A4D"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9. All-days PCA, real points coloured by attack family.</w:t>
      </w:r>
    </w:p>
    <w:p w14:paraId="1FFF3DDF"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9 colours real points by family. The synthetic cloud leans to BENIGN and the large attack blobs while barely touching the rare families; the comparison sample holds only 2 Bot, 11 Brute Force and 2 Web Attack real points, so there is almost nothing to learn from. Adding data slightly improves the mean-gap (0.1009 vs 0.1387) but worsens the std-gap (0.3004 vs 0.2480): more data sharpens the averages yet cannot cover the extra variance. A single unconditional GAN does not generalise across attack families, so a conditional GAN or per-family models would follow. The 'duck' point bites harder here, since a synthetic flow can be statistically plausible yet physically impossible, which is why the overlap and per-feature-gap checks matter more than any visual inspection.</w:t>
      </w:r>
    </w:p>
    <w:p w14:paraId="1DF55BF2"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Part 2.3: Creative AI - QuickDraw 'birthday cake' Subset</w:t>
      </w:r>
    </w:p>
    <w:p w14:paraId="68D514C6"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The final task trains a DCGAN on the QuickDraw 'birthday cake' set of 28x28 greyscale sketch bitmaps (Ha and Eck, 2018). I implement it in TensorFlow/Keras in the model.fit style: a functional-API generator and discriminator wrapped in a keras.Model subclass whose train_step performs the adversarial update, deliberately showing a different framework and style from earlier parts. The config is a 100-d latent vector, 48 base feature maps, Adam at lr = 0.00015 (beta1 = 0.5) and 35 epochs at batch 256; the generator has 677,952 parameters. Of 144,982 available sketches I train on a random 30,000.</w:t>
      </w:r>
    </w:p>
    <w:p w14:paraId="518AE32B"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17F89386" wp14:editId="71B1EB72">
            <wp:extent cx="3986784" cy="2194560"/>
            <wp:effectExtent l="0" t="0" r="0" b="0"/>
            <wp:docPr id="11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10.png"/>
                    <pic:cNvPicPr/>
                  </pic:nvPicPr>
                  <pic:blipFill>
                    <a:blip r:embed="rId13"/>
                    <a:stretch>
                      <a:fillRect/>
                    </a:stretch>
                  </pic:blipFill>
                  <pic:spPr>
                    <a:xfrm>
                      <a:off x="0" y="0"/>
                      <a:ext cx="3986784" cy="2194560"/>
                    </a:xfrm>
                    <a:prstGeom prst="rect">
                      <a:avLst/>
                    </a:prstGeom>
                  </pic:spPr>
                </pic:pic>
              </a:graphicData>
            </a:graphic>
          </wp:inline>
        </w:drawing>
      </w:r>
    </w:p>
    <w:p w14:paraId="5839D065"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10. Real versus generated birthday-cake sketches, FID = 42.13.</w:t>
      </w:r>
    </w:p>
    <w:p w14:paraId="3CFCA27C"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10 compares real and generated cakes; the model scores FID = 42.13 using the same InceptionV3 approach as Part 2.1. The cakes are clearly recognisable, showing a rounded or rectangular body, candles and often a plate, with line-art faults such as broken strokes and speckle visible up close but not hiding the subject. Losses stay in a healthy back-and-forth (from d_loss=0.55, g_loss=2.84 at epoch 1), with only occasional spikes.</w:t>
      </w:r>
    </w:p>
    <w:p w14:paraId="42F24930"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58C53309" wp14:editId="2043CF9D">
            <wp:extent cx="4206240" cy="978609"/>
            <wp:effectExtent l="0" t="0" r="0" b="0"/>
            <wp:docPr id="1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11.png"/>
                    <pic:cNvPicPr/>
                  </pic:nvPicPr>
                  <pic:blipFill>
                    <a:blip r:embed="rId14"/>
                    <a:stretch>
                      <a:fillRect/>
                    </a:stretch>
                  </pic:blipFill>
                  <pic:spPr>
                    <a:xfrm>
                      <a:off x="0" y="0"/>
                      <a:ext cx="4206240" cy="978609"/>
                    </a:xfrm>
                    <a:prstGeom prst="rect">
                      <a:avLst/>
                    </a:prstGeom>
                  </pic:spPr>
                </pic:pic>
              </a:graphicData>
            </a:graphic>
          </wp:inline>
        </w:drawing>
      </w:r>
    </w:p>
    <w:p w14:paraId="63EE7D9E"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11. Sample progression across training epochs.</w:t>
      </w:r>
    </w:p>
    <w:p w14:paraId="4F5605AB"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11 shows fixed-noise samples at five epochs. Early snapshots are blurry blobs; later ones sharpen into cake outlines with candles, the qualitative counterpart to the losses stabilising. Tracking the same noise over time separates genuine learning from mode-hopping, since the samples evolve smoothly towards structure instead of jumping between shapes.</w:t>
      </w:r>
    </w:p>
    <w:p w14:paraId="322440D9"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b/>
          <w:sz w:val="20"/>
          <w:szCs w:val="20"/>
        </w:rPr>
        <w:t>Extension - other categories and complexity.</w:t>
      </w:r>
      <w:r w:rsidRPr="00CB69DF">
        <w:rPr>
          <w:rFonts w:ascii="Times New Roman" w:hAnsi="Times New Roman" w:cs="Times New Roman"/>
          <w:sz w:val="20"/>
          <w:szCs w:val="20"/>
        </w:rPr>
        <w:t xml:space="preserve"> I retrained the same model on two more categories and compared FID against an "ink fraction" complexity proxy.</w:t>
      </w:r>
    </w:p>
    <w:p w14:paraId="33D88280"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48090BA" wp14:editId="6B7328A2">
            <wp:extent cx="4206240" cy="1821125"/>
            <wp:effectExtent l="0" t="0" r="0" b="0"/>
            <wp:docPr id="1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12.png"/>
                    <pic:cNvPicPr/>
                  </pic:nvPicPr>
                  <pic:blipFill>
                    <a:blip r:embed="rId15"/>
                    <a:stretch>
                      <a:fillRect/>
                    </a:stretch>
                  </pic:blipFill>
                  <pic:spPr>
                    <a:xfrm>
                      <a:off x="0" y="0"/>
                      <a:ext cx="4206240" cy="1821125"/>
                    </a:xfrm>
                    <a:prstGeom prst="rect">
                      <a:avLst/>
                    </a:prstGeom>
                  </pic:spPr>
                </pic:pic>
              </a:graphicData>
            </a:graphic>
          </wp:inline>
        </w:drawing>
      </w:r>
    </w:p>
    <w:p w14:paraId="14132EC9" w14:textId="77777777" w:rsidR="004772C6" w:rsidRPr="00CB69DF" w:rsidRDefault="00000000" w:rsidP="00CB69DF">
      <w:pPr>
        <w:spacing w:before="40" w:after="200"/>
        <w:jc w:val="center"/>
        <w:rPr>
          <w:rFonts w:ascii="Times New Roman" w:hAnsi="Times New Roman" w:cs="Times New Roman"/>
          <w:sz w:val="20"/>
          <w:szCs w:val="20"/>
        </w:rPr>
      </w:pPr>
      <w:r w:rsidRPr="00CB69DF">
        <w:rPr>
          <w:rFonts w:ascii="Times New Roman" w:hAnsi="Times New Roman" w:cs="Times New Roman"/>
          <w:b/>
          <w:sz w:val="20"/>
          <w:szCs w:val="20"/>
        </w:rPr>
        <w:t>Figure 12.</w:t>
      </w:r>
      <w:r w:rsidRPr="00CB69DF">
        <w:rPr>
          <w:rFonts w:ascii="Times New Roman" w:hAnsi="Times New Roman" w:cs="Times New Roman"/>
          <w:sz w:val="20"/>
          <w:szCs w:val="20"/>
        </w:rPr>
        <w:t xml:space="preserve"> Cross-category FID versus ink-fraction complexity proxy.</w:t>
      </w:r>
    </w:p>
    <w:p w14:paraId="3EF69708"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Figure 12 reports house = 35.22, cat = 39.53, cake = 42.13, while the ink-fractions are nearly flat (0.2368, 0.2655, 0.2708). Since ink density barely varies, it cannot explain the FID differences. House is the easiest, which fits intuition, because houses are structurally rigid whereas cats and cakes vary more in pose, tiers and candle count. Shape variety, not ink coverage, drives the difficulty, and the ordering of house then cat then cake follows increasing structural variety.</w:t>
      </w:r>
    </w:p>
    <w:p w14:paraId="150CE8B9" w14:textId="77777777" w:rsidR="004772C6" w:rsidRPr="00CB69DF" w:rsidRDefault="00000000" w:rsidP="00CB69DF">
      <w:pPr>
        <w:spacing w:before="240" w:after="100"/>
        <w:jc w:val="both"/>
        <w:rPr>
          <w:rFonts w:ascii="Times New Roman" w:hAnsi="Times New Roman" w:cs="Times New Roman"/>
          <w:sz w:val="20"/>
          <w:szCs w:val="20"/>
        </w:rPr>
      </w:pPr>
      <w:r w:rsidRPr="00CB69DF">
        <w:rPr>
          <w:rFonts w:ascii="Times New Roman" w:hAnsi="Times New Roman" w:cs="Times New Roman"/>
          <w:b/>
          <w:sz w:val="20"/>
          <w:szCs w:val="20"/>
        </w:rPr>
        <w:t>Conclusions and Future Work</w:t>
      </w:r>
    </w:p>
    <w:p w14:paraId="2B48BA61" w14:textId="77777777" w:rsidR="004772C6" w:rsidRPr="00CB69DF" w:rsidRDefault="00000000" w:rsidP="00CB69DF">
      <w:pPr>
        <w:spacing w:before="120" w:after="120"/>
        <w:jc w:val="both"/>
        <w:rPr>
          <w:rFonts w:ascii="Times New Roman" w:hAnsi="Times New Roman" w:cs="Times New Roman"/>
          <w:sz w:val="20"/>
          <w:szCs w:val="20"/>
        </w:rPr>
      </w:pPr>
      <w:r>
        <w:rPr>
          <w:rFonts w:ascii="Times New Roman" w:hAnsi="Times New Roman" w:cs="Times New Roman"/>
          <w:sz w:val="20"/>
          <w:szCs w:val="20"/>
        </w:rPr>
        <w:t xml:space="preserve">The same adversarial recipe adapted cleanly to very different data by changing only the input representation and the network family. Part 1 confirmed the mechanics: an MLP learned a sine wave almost perfectly and reached every mode of a Gaussian ring, and adding depth and width with SELU sharpened the samples without altering coverage. Part 2.1 produced plausible OCT scans (FID 43.70) and a stabilised conditional model that generates any class on demand. Part 2.2 matched the bulk of real traffic (gaps 0.1387/0.2480 on Wednesday) but missed the attack tails, and the all-days run confirmed one unconditional model cannot span many families. Part 2.3 generated recognisable cake sketches (FID 42.13) and showed that difficulty tracks shape variety, not ink density.</w:t>
      </w:r>
    </w:p>
    <w:p w14:paraId="2022E56B"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Three directions follow. First, </w:t>
      </w:r>
      <w:r w:rsidRPr="00CB69DF">
        <w:rPr>
          <w:rFonts w:ascii="Times New Roman" w:hAnsi="Times New Roman" w:cs="Times New Roman"/>
          <w:b/>
          <w:sz w:val="20"/>
          <w:szCs w:val="20"/>
        </w:rPr>
        <w:t>coverage of rare classes</w:t>
      </w:r>
      <w:r w:rsidRPr="00CB69DF">
        <w:rPr>
          <w:rFonts w:ascii="Times New Roman" w:hAnsi="Times New Roman" w:cs="Times New Roman"/>
          <w:sz w:val="20"/>
          <w:szCs w:val="20"/>
        </w:rPr>
        <w:t xml:space="preserve">: both the OCT imbalance and CICIDS rare-attack failure point to conditional generation, per-class models or minority-aware sampling. Second, </w:t>
      </w:r>
      <w:r w:rsidRPr="00CB69DF">
        <w:rPr>
          <w:rFonts w:ascii="Times New Roman" w:hAnsi="Times New Roman" w:cs="Times New Roman"/>
          <w:b/>
          <w:sz w:val="20"/>
          <w:szCs w:val="20"/>
        </w:rPr>
        <w:t>better-matched evaluation</w:t>
      </w:r>
      <w:r w:rsidRPr="00CB69DF">
        <w:rPr>
          <w:rFonts w:ascii="Times New Roman" w:hAnsi="Times New Roman" w:cs="Times New Roman"/>
          <w:sz w:val="20"/>
          <w:szCs w:val="20"/>
        </w:rPr>
        <w:t xml:space="preserve">: ImageNet-based FID is only directional for greyscale scans and line-art, so a domain-specific extractor or a "train-on-synthetic, test-on-real" classifier would give a more trustworthy signal. Third, </w:t>
      </w:r>
      <w:r w:rsidRPr="00CB69DF">
        <w:rPr>
          <w:rFonts w:ascii="Times New Roman" w:hAnsi="Times New Roman" w:cs="Times New Roman"/>
          <w:b/>
          <w:sz w:val="20"/>
          <w:szCs w:val="20"/>
        </w:rPr>
        <w:t>stronger objectives</w:t>
      </w:r>
      <w:r w:rsidRPr="00CB69DF">
        <w:rPr>
          <w:rFonts w:ascii="Times New Roman" w:hAnsi="Times New Roman" w:cs="Times New Roman"/>
          <w:sz w:val="20"/>
          <w:szCs w:val="20"/>
        </w:rPr>
        <w:t xml:space="preserve">: a Wasserstein loss with gradient penalty (Gulrajani et al., 2017) would likely tighten the loose Gaussian-mixture and smoothed CICIDS distributions. The recurring lesson, framed by the "duck" question, is that a GAN learns </w:t>
      </w:r>
      <w:r w:rsidRPr="00CB69DF">
        <w:rPr>
          <w:rFonts w:ascii="Times New Roman" w:hAnsi="Times New Roman" w:cs="Times New Roman"/>
          <w:i/>
          <w:sz w:val="20"/>
          <w:szCs w:val="20"/>
        </w:rPr>
        <w:t>statistical</w:t>
      </w:r>
      <w:r w:rsidRPr="00CB69DF">
        <w:rPr>
          <w:rFonts w:ascii="Times New Roman" w:hAnsi="Times New Roman" w:cs="Times New Roman"/>
          <w:sz w:val="20"/>
          <w:szCs w:val="20"/>
        </w:rPr>
        <w:t xml:space="preserve"> resemblance, never </w:t>
      </w:r>
      <w:r w:rsidRPr="00CB69DF">
        <w:rPr>
          <w:rFonts w:ascii="Times New Roman" w:hAnsi="Times New Roman" w:cs="Times New Roman"/>
          <w:i/>
          <w:sz w:val="20"/>
          <w:szCs w:val="20"/>
        </w:rPr>
        <w:t>semantic correctness</w:t>
      </w:r>
      <w:r w:rsidRPr="00CB69DF">
        <w:rPr>
          <w:rFonts w:ascii="Times New Roman" w:hAnsi="Times New Roman" w:cs="Times New Roman"/>
          <w:sz w:val="20"/>
          <w:szCs w:val="20"/>
        </w:rPr>
        <w:t>, so synthetic medical or security data must be validated before it is trusted downstream.</w:t>
      </w:r>
    </w:p>
    <w:p w14:paraId="75C80CF7" w14:textId="4238722C" w:rsidR="004772C6" w:rsidRPr="00CB69DF" w:rsidRDefault="00000000" w:rsidP="00CB69DF">
      <w:pPr>
        <w:spacing w:before="240" w:after="100"/>
        <w:jc w:val="both"/>
        <w:rPr>
          <w:rFonts w:ascii="Times New Roman" w:hAnsi="Times New Roman" w:cs="Times New Roman"/>
          <w:sz w:val="20"/>
          <w:szCs w:val="20"/>
        </w:rPr>
      </w:pPr>
      <w:r w:rsidRPr="00CB69DF">
        <w:rPr>
          <w:rFonts w:ascii="Times New Roman" w:hAnsi="Times New Roman" w:cs="Times New Roman"/>
          <w:b/>
          <w:sz w:val="20"/>
          <w:szCs w:val="20"/>
        </w:rPr>
        <w:t>References</w:t>
      </w:r>
    </w:p>
    <w:p w14:paraId="16A64A6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Goodfellow, I. et al. (2014) 'Generative adversarial nets', in </w:t>
      </w:r>
      <w:r w:rsidRPr="00CB69DF">
        <w:rPr>
          <w:rFonts w:ascii="Times New Roman" w:hAnsi="Times New Roman" w:cs="Times New Roman"/>
          <w:i/>
          <w:sz w:val="20"/>
          <w:szCs w:val="20"/>
        </w:rPr>
        <w:t>Advances in Neural Information Processing Systems (NeurIPS) 27</w:t>
      </w:r>
      <w:r w:rsidRPr="00CB69DF">
        <w:rPr>
          <w:rFonts w:ascii="Times New Roman" w:hAnsi="Times New Roman" w:cs="Times New Roman"/>
          <w:sz w:val="20"/>
          <w:szCs w:val="20"/>
        </w:rPr>
        <w:t>. Montreal, pp. 2672-2680.</w:t>
      </w:r>
    </w:p>
    <w:p w14:paraId="04822A9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Gulrajani, I. et al. (2017) 'Improved training of Wasserstein GANs',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5767-5777.</w:t>
      </w:r>
    </w:p>
    <w:p w14:paraId="10A99BE9"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lastRenderedPageBreak/>
        <w:t xml:space="preserve">Ha, D. and Eck, D. (2018) 'A neural representation of sketch drawings', in </w:t>
      </w:r>
      <w:r w:rsidRPr="00CB69DF">
        <w:rPr>
          <w:rFonts w:ascii="Times New Roman" w:hAnsi="Times New Roman" w:cs="Times New Roman"/>
          <w:i/>
          <w:sz w:val="20"/>
          <w:szCs w:val="20"/>
        </w:rPr>
        <w:t>International Conference on Learning Representations (ICLR)</w:t>
      </w:r>
      <w:r w:rsidRPr="00CB69DF">
        <w:rPr>
          <w:rFonts w:ascii="Times New Roman" w:hAnsi="Times New Roman" w:cs="Times New Roman"/>
          <w:sz w:val="20"/>
          <w:szCs w:val="20"/>
        </w:rPr>
        <w:t>. Vancouver.</w:t>
      </w:r>
    </w:p>
    <w:p w14:paraId="55CEE913"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Heusel, M. et al. (2017) 'GANs trained by a two time-scale update rule converge to a local Nash equilibrium',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6626-6637.</w:t>
      </w:r>
    </w:p>
    <w:p w14:paraId="7DD056EA"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Klambauer, G. et al. (2017) 'Self-normalizing neural networks',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971-980.</w:t>
      </w:r>
    </w:p>
    <w:p w14:paraId="3CA3471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Mirza, M. and Osindero, S. (2014) 'Conditional generative adversarial nets', </w:t>
      </w:r>
      <w:r w:rsidRPr="00CB69DF">
        <w:rPr>
          <w:rFonts w:ascii="Times New Roman" w:hAnsi="Times New Roman" w:cs="Times New Roman"/>
          <w:i/>
          <w:sz w:val="20"/>
          <w:szCs w:val="20"/>
        </w:rPr>
        <w:t>arXiv preprint</w:t>
      </w:r>
      <w:r w:rsidRPr="00CB69DF">
        <w:rPr>
          <w:rFonts w:ascii="Times New Roman" w:hAnsi="Times New Roman" w:cs="Times New Roman"/>
          <w:sz w:val="20"/>
          <w:szCs w:val="20"/>
        </w:rPr>
        <w:t xml:space="preserve"> arXiv:1411.1784.</w:t>
      </w:r>
    </w:p>
    <w:p w14:paraId="5EEC2A54"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Radford, A., Metz, L. and Chintala, S. (2015) 'Unsupervised representation learning with deep convolutional generative adversarial networks', </w:t>
      </w:r>
      <w:r w:rsidRPr="00CB69DF">
        <w:rPr>
          <w:rFonts w:ascii="Times New Roman" w:hAnsi="Times New Roman" w:cs="Times New Roman"/>
          <w:i/>
          <w:sz w:val="20"/>
          <w:szCs w:val="20"/>
        </w:rPr>
        <w:t>arXiv preprint</w:t>
      </w:r>
      <w:r w:rsidRPr="00CB69DF">
        <w:rPr>
          <w:rFonts w:ascii="Times New Roman" w:hAnsi="Times New Roman" w:cs="Times New Roman"/>
          <w:sz w:val="20"/>
          <w:szCs w:val="20"/>
        </w:rPr>
        <w:t xml:space="preserve"> arXiv:1511.06434.</w:t>
      </w:r>
    </w:p>
    <w:p w14:paraId="2520CFF4"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Sharafaldin, I., Lashkari, A.H. and Ghorbani, A.A. (2018) 'Toward generating a new intrusion detection dataset and intrusion traffic characterization', in </w:t>
      </w:r>
      <w:r w:rsidRPr="00CB69DF">
        <w:rPr>
          <w:rFonts w:ascii="Times New Roman" w:hAnsi="Times New Roman" w:cs="Times New Roman"/>
          <w:i/>
          <w:sz w:val="20"/>
          <w:szCs w:val="20"/>
        </w:rPr>
        <w:t>Proceedings of the 4th International Conference on Information Systems Security and Privacy (ICISSP)</w:t>
      </w:r>
      <w:r w:rsidRPr="00CB69DF">
        <w:rPr>
          <w:rFonts w:ascii="Times New Roman" w:hAnsi="Times New Roman" w:cs="Times New Roman"/>
          <w:sz w:val="20"/>
          <w:szCs w:val="20"/>
        </w:rPr>
        <w:t>. Funchal, pp. 108-116.</w:t>
      </w:r>
    </w:p>
    <w:p w14:paraId="76D68BA5"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van der Maaten, L. and Hinton, G. (2008) 'Visualizing data using t-SNE', </w:t>
      </w:r>
      <w:r w:rsidRPr="00CB69DF">
        <w:rPr>
          <w:rFonts w:ascii="Times New Roman" w:hAnsi="Times New Roman" w:cs="Times New Roman"/>
          <w:i/>
          <w:sz w:val="20"/>
          <w:szCs w:val="20"/>
        </w:rPr>
        <w:t>Journal of Machine Learning Research</w:t>
      </w:r>
      <w:r w:rsidRPr="00CB69DF">
        <w:rPr>
          <w:rFonts w:ascii="Times New Roman" w:hAnsi="Times New Roman" w:cs="Times New Roman"/>
          <w:sz w:val="20"/>
          <w:szCs w:val="20"/>
        </w:rPr>
        <w:t>, 9, pp. 2579-2605.</w:t>
      </w:r>
    </w:p>
    <w:p w14:paraId="1FB82823"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Yang, J. et al. (2023) 'MedMNIST v2 - a large-scale lightweight benchmark for 2D and 3D biomedical image classification', </w:t>
      </w:r>
      <w:r w:rsidRPr="00CB69DF">
        <w:rPr>
          <w:rFonts w:ascii="Times New Roman" w:hAnsi="Times New Roman" w:cs="Times New Roman"/>
          <w:i/>
          <w:sz w:val="20"/>
          <w:szCs w:val="20"/>
        </w:rPr>
        <w:t>Scientific Data</w:t>
      </w:r>
      <w:r w:rsidRPr="00CB69DF">
        <w:rPr>
          <w:rFonts w:ascii="Times New Roman" w:hAnsi="Times New Roman" w:cs="Times New Roman"/>
          <w:sz w:val="20"/>
          <w:szCs w:val="20"/>
        </w:rPr>
        <w:t>, 10(1), 41.</w:t>
      </w:r>
    </w:p>
    <w:sectPr w:rsidR="004772C6" w:rsidRPr="00CB69D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C6"/>
    <w:rsid w:val="004772C6"/>
    <w:rsid w:val="00CB69DF"/>
    <w:rsid w:val="00E071A7"/>
    <w:rsid w:val="00E36AD5"/>
    <w:rsid w:val="00FC16A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6614F"/>
  <w15:docId w15:val="{1144DAEC-4DBE-493E-A042-0362E3927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2359</Words>
  <Characters>13448</Characters>
  <Application>Microsoft Office Word</Application>
  <DocSecurity>0</DocSecurity>
  <Lines>112</Lines>
  <Paragraphs>31</Paragraphs>
  <ScaleCrop>false</ScaleCrop>
  <Company/>
  <LinksUpToDate>false</LinksUpToDate>
  <CharactersWithSpaces>15776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2026-07-29T16:48:00Z</dcterms:created>
  <dcterms:modified xsi:type="dcterms:W3CDTF">2026-07-29T16:48:00Z</dcterms:modified>
</cp:coreProperties>
</file>