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spacing w:after="80" w:before="0"/>
              <w:jc w:val="left"/>
            </w:pPr>
            <w:r>
              <w:rPr>
                <w:rFonts w:ascii="Arial" w:cs="Arial" w:eastAsia="Arial" w:hAnsi="Arial"/>
                <w:b/>
                <w:bCs/>
                <w:color w:val="FFFFFF"/>
                <w:sz w:val="40"/>
                <w:szCs w:val="40"/>
              </w:rPr>
              <w:t xml:space="preserve">AI-POWERED FACIAL SKIN ANALYSIS</w:t>
            </w:r>
          </w:p>
          <w:p>
            <w:pPr>
              <w:spacing w:after="200" w:before="0"/>
              <w:jc w:val="left"/>
            </w:pPr>
            <w:r>
              <w:rPr>
                <w:rFonts w:ascii="Arial" w:cs="Arial" w:eastAsia="Arial" w:hAnsi="Arial"/>
                <w:color w:val="AABBDD"/>
                <w:sz w:val="24"/>
                <w:szCs w:val="24"/>
              </w:rPr>
              <w:t xml:space="preserve">3D Reconstruction, Condition Detection &amp; Longitudinal Change Tracking</w:t>
            </w:r>
          </w:p>
          <w:p>
            <w:pPr>
              <w:spacing w:after="200" w:before="0"/>
            </w:pPr>
            <w:r>
              <w:rPr>
                <w:rFonts w:ascii="Arial" w:cs="Arial" w:eastAsia="Arial" w:hAnsi="Arial"/>
                <w:color w:val="4466AA"/>
                <w:sz w:val="20"/>
                <w:szCs w:val="20"/>
              </w:rPr>
              <w:t xml:space="preserve">—</w:t>
            </w:r>
          </w:p>
          <w:p>
            <w:pPr>
              <w:spacing w:after="80" w:before="0"/>
              <w:jc w:val="left"/>
            </w:pPr>
            <w:r>
              <w:rPr>
                <w:rFonts w:ascii="Arial" w:cs="Arial" w:eastAsia="Arial" w:hAnsi="Arial"/>
                <w:b/>
                <w:bCs/>
                <w:color w:val="BBCCEE"/>
                <w:sz w:val="22"/>
                <w:szCs w:val="22"/>
              </w:rPr>
              <w:t xml:space="preserve">Technical Architecture Documentation</w:t>
            </w:r>
          </w:p>
          <w:p>
            <w:pPr>
              <w:spacing w:after="80" w:before="0"/>
              <w:jc w:val="left"/>
            </w:pPr>
            <w:r>
              <w:rPr>
                <w:rFonts w:ascii="Arial" w:cs="Arial" w:eastAsia="Arial" w:hAnsi="Arial"/>
                <w:color w:val="8899BB"/>
                <w:sz w:val="20"/>
                <w:szCs w:val="20"/>
              </w:rPr>
              <w:t xml:space="preserve">Prepared for Dermatologist Review</w:t>
            </w:r>
          </w:p>
          <w:p>
            <w:pPr>
              <w:spacing w:after="0" w:before="0"/>
              <w:jc w:val="left"/>
            </w:pPr>
            <w:r>
              <w:rPr>
                <w:rFonts w:ascii="Arial" w:cs="Arial" w:eastAsia="Arial" w:hAnsi="Arial"/>
                <w:color w:val="8899BB"/>
                <w:sz w:val="20"/>
                <w:szCs w:val="20"/>
              </w:rPr>
              <w:t xml:space="preserve">Version 1.0  —  April 2026</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200"/>
              <w:bottom w:type="dxa" w:w="100"/>
              <w:right w:type="dxa" w:w="200"/>
            </w:tcMar>
          </w:tcPr>
          <w:p>
            <w:pPr>
              <w:spacing w:after="0" w:before="0"/>
            </w:pPr>
            <w:r>
              <w:rPr>
                <w:rFonts w:ascii="Arial" w:cs="Arial" w:eastAsia="Arial" w:hAnsi="Arial"/>
                <w:b/>
                <w:bCs/>
                <w:color w:val="7A5C00"/>
                <w:sz w:val="20"/>
                <w:szCs w:val="20"/>
              </w:rPr>
              <w:t xml:space="preserve">IMPORTANT: </w:t>
            </w:r>
            <w:r>
              <w:rPr>
                <w:rFonts w:ascii="Arial" w:cs="Arial" w:eastAsia="Arial" w:hAnsi="Arial"/>
                <w:color w:val="5A4000"/>
                <w:sz w:val="20"/>
                <w:szCs w:val="20"/>
              </w:rPr>
              <w:t xml:space="preserve">This system is intended as a clinical decision-support tool. All AI-generated assessments must be reviewed and confirmed by a qualified dermatologist. This system does not replace clinical examination.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after="40" w:before="0"/>
            </w:pPr>
            <w:r>
              <w:rPr>
                <w:rFonts w:ascii="Arial" w:cs="Arial" w:eastAsia="Arial" w:hAnsi="Arial"/>
                <w:color w:val="99AACC"/>
                <w:sz w:val="18"/>
                <w:szCs w:val="18"/>
              </w:rPr>
              <w:t xml:space="preserve">SECTION 01  </w:t>
            </w:r>
            <w:r>
              <w:rPr>
                <w:rFonts w:ascii="Arial" w:cs="Arial" w:eastAsia="Arial" w:hAnsi="Arial"/>
                <w:b/>
                <w:bCs/>
                <w:color w:val="FFFFFF"/>
                <w:sz w:val="26"/>
                <w:szCs w:val="26"/>
              </w:rPr>
              <w:t xml:space="preserve">EXECUTIVE SUMMARY</w:t>
            </w:r>
          </w:p>
          <w:p>
            <w:pPr>
              <w:spacing w:after="0" w:before="0"/>
            </w:pPr>
            <w:r>
              <w:rPr>
                <w:rFonts w:ascii="Arial" w:cs="Arial" w:eastAsia="Arial" w:hAnsi="Arial"/>
                <w:color w:val="AABBDD"/>
                <w:sz w:val="20"/>
                <w:szCs w:val="20"/>
              </w:rPr>
              <w:t xml:space="preserve">What this system does and why it matters clinically</w:t>
            </w:r>
          </w:p>
        </w:tc>
      </w:tr>
    </w:tbl>
    <w:p>
      <w:pPr>
        <w:spacing w:after="0" w:before="160"/>
      </w:pPr>
    </w:p>
    <w:p>
      <w:pPr>
        <w:spacing w:after="80" w:before="80"/>
        <w:jc w:val="both"/>
      </w:pPr>
      <w:r>
        <w:rPr>
          <w:rFonts w:ascii="Arial" w:cs="Arial" w:eastAsia="Arial" w:hAnsi="Arial"/>
          <w:color w:val="1A1A1A"/>
          <w:sz w:val="22"/>
          <w:szCs w:val="22"/>
        </w:rPr>
        <w:t xml:space="preserve">This document describes the complete technical architecture of an AI-powered facial skin analysis platform designed to support dermatological assessment. The system captures the patient's face using a mobile device camera, constructs a precise 3D model of the facial surface, performs per-pixel skin condition analysis using multiple specialized AI models, and tracks condition changes longitudinally across scan sessions.</w:t>
      </w:r>
    </w:p>
    <w:p>
      <w:pPr>
        <w:spacing w:after="0" w:before="80"/>
      </w:pPr>
    </w:p>
    <w:p>
      <w:pPr>
        <w:spacing w:after="80" w:before="80"/>
        <w:jc w:val="both"/>
      </w:pPr>
      <w:r>
        <w:rPr>
          <w:rFonts w:ascii="Arial" w:cs="Arial" w:eastAsia="Arial" w:hAnsi="Arial"/>
          <w:color w:val="1A1A1A"/>
          <w:sz w:val="22"/>
          <w:szCs w:val="22"/>
        </w:rPr>
        <w:t xml:space="preserve">The platform is designed to augment clinical practice in three key ways: providing objective, quantified baseline measurements at first presentation; enabling precise, data-driven tracking of treatment response over time; and flagging clinically significant changes between visits for dermatologist review.</w:t>
      </w:r>
    </w:p>
    <w:p>
      <w:pPr>
        <w:spacing w:after="0" w:before="160"/>
      </w:pPr>
    </w:p>
    <w:p>
      <w:pPr>
        <w:pStyle w:val="Heading2"/>
        <w:spacing w:after="120" w:before="280"/>
      </w:pPr>
      <w:r>
        <w:rPr>
          <w:rFonts w:ascii="Arial" w:cs="Arial" w:eastAsia="Arial" w:hAnsi="Arial"/>
          <w:b/>
          <w:bCs/>
          <w:color w:val="0F6E56"/>
          <w:sz w:val="28"/>
          <w:szCs w:val="28"/>
        </w:rPr>
        <w:t xml:space="preserve">1.1  Core capabilities</w:t>
      </w:r>
    </w:p>
    <w:p>
      <w:pPr>
        <w:pStyle w:val="ListParagraph"/>
        <w:numPr>
          <w:ilvl w:val="0"/>
          <w:numId w:val="2"/>
        </w:numPr>
        <w:spacing w:after="60" w:before="60"/>
      </w:pPr>
      <w:r>
        <w:rPr>
          <w:rFonts w:ascii="Arial" w:cs="Arial" w:eastAsia="Arial" w:hAnsi="Arial"/>
          <w:color w:val="1A1A1A"/>
          <w:sz w:val="22"/>
          <w:szCs w:val="22"/>
        </w:rPr>
        <w:t xml:space="preserve">Full-face 3D mesh reconstruction at sub-millimeter precision using mobile device sensors (TrueDepth / Time-of-Flight depth cameras)</w:t>
      </w:r>
    </w:p>
    <w:p>
      <w:pPr>
        <w:pStyle w:val="ListParagraph"/>
        <w:numPr>
          <w:ilvl w:val="0"/>
          <w:numId w:val="2"/>
        </w:numPr>
        <w:spacing w:after="60" w:before="60"/>
      </w:pPr>
      <w:r>
        <w:rPr>
          <w:rFonts w:ascii="Arial" w:cs="Arial" w:eastAsia="Arial" w:hAnsi="Arial"/>
          <w:color w:val="1A1A1A"/>
          <w:sz w:val="22"/>
          <w:szCs w:val="22"/>
        </w:rPr>
        <w:t xml:space="preserve">Per-pixel skin condition detection across 12+ condition categories including acne, hyperpigmentation, rosacea, wrinkles, oiliness, and texture irregularities</w:t>
      </w:r>
    </w:p>
    <w:p>
      <w:pPr>
        <w:pStyle w:val="ListParagraph"/>
        <w:numPr>
          <w:ilvl w:val="0"/>
          <w:numId w:val="2"/>
        </w:numPr>
        <w:spacing w:after="60" w:before="60"/>
      </w:pPr>
      <w:r>
        <w:rPr>
          <w:rFonts w:ascii="Arial" w:cs="Arial" w:eastAsia="Arial" w:hAnsi="Arial"/>
          <w:color w:val="1A1A1A"/>
          <w:sz w:val="22"/>
          <w:szCs w:val="22"/>
        </w:rPr>
        <w:t xml:space="preserve">Skin-tone-calibrated analysis using Fitzpatrick scale (Types I–VI) to ensure equitable accuracy across all patient demographics</w:t>
      </w:r>
    </w:p>
    <w:p>
      <w:pPr>
        <w:pStyle w:val="ListParagraph"/>
        <w:numPr>
          <w:ilvl w:val="0"/>
          <w:numId w:val="2"/>
        </w:numPr>
        <w:spacing w:after="60" w:before="60"/>
      </w:pPr>
      <w:r>
        <w:rPr>
          <w:rFonts w:ascii="Arial" w:cs="Arial" w:eastAsia="Arial" w:hAnsi="Arial"/>
          <w:color w:val="1A1A1A"/>
          <w:sz w:val="22"/>
          <w:szCs w:val="22"/>
        </w:rPr>
        <w:t xml:space="preserve">Longitudinal change tracking using a triple-filter confirmation model that distinguishes genuine clinical changes from scan-to-scan measurement noise</w:t>
      </w:r>
    </w:p>
    <w:p>
      <w:pPr>
        <w:pStyle w:val="ListParagraph"/>
        <w:numPr>
          <w:ilvl w:val="0"/>
          <w:numId w:val="2"/>
        </w:numPr>
        <w:spacing w:after="60" w:before="60"/>
      </w:pPr>
      <w:r>
        <w:rPr>
          <w:rFonts w:ascii="Arial" w:cs="Arial" w:eastAsia="Arial" w:hAnsi="Arial"/>
          <w:color w:val="1A1A1A"/>
          <w:sz w:val="22"/>
          <w:szCs w:val="22"/>
        </w:rPr>
        <w:t xml:space="preserve">Severity scoring on validated clinical scales (e.g., IGA for acne) with quantified confidence intervals on every reported measurement</w:t>
      </w:r>
    </w:p>
    <w:p>
      <w:pPr>
        <w:pStyle w:val="ListParagraph"/>
        <w:numPr>
          <w:ilvl w:val="0"/>
          <w:numId w:val="2"/>
        </w:numPr>
        <w:spacing w:after="60" w:before="60"/>
      </w:pPr>
      <w:r>
        <w:rPr>
          <w:rFonts w:ascii="Arial" w:cs="Arial" w:eastAsia="Arial" w:hAnsi="Arial"/>
          <w:color w:val="1A1A1A"/>
          <w:sz w:val="22"/>
          <w:szCs w:val="22"/>
        </w:rPr>
        <w:t xml:space="preserve">Automatic flagging of high-severity or rapidly-changing conditions for priority dermatologist review</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0"/>
            </w:pPr>
            <w:r>
              <w:rPr>
                <w:rFonts w:ascii="Arial" w:cs="Arial" w:eastAsia="Arial" w:hAnsi="Arial"/>
                <w:b/>
                <w:bCs/>
                <w:color w:val="0F6E56"/>
                <w:sz w:val="22"/>
                <w:szCs w:val="22"/>
              </w:rPr>
              <w:t xml:space="preserve">Clinical value proposition</w:t>
            </w:r>
          </w:p>
          <w:p>
            <w:pPr>
              <w:spacing w:after="0" w:before="0"/>
              <w:jc w:val="both"/>
            </w:pPr>
            <w:r>
              <w:rPr>
                <w:rFonts w:ascii="Arial" w:cs="Arial" w:eastAsia="Arial" w:hAnsi="Arial"/>
                <w:color w:val="1A1A1A"/>
                <w:sz w:val="21"/>
                <w:szCs w:val="21"/>
              </w:rPr>
              <w:t xml:space="preserve">Traditional photographic documentation is inconsistent in lighting, distance, and angle. This system enforces controlled, reproducible capture conditions and produces quantified measurements rather than subjective descriptions. A dermatologist reviewing a patient at 6 weeks can see precisely that the acne-affected surface area decreased by 34% (from 8.2cm² to 5.4cm²) with 91% confidence — not just that skin 'looks better.'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after="40" w:before="0"/>
            </w:pPr>
            <w:r>
              <w:rPr>
                <w:rFonts w:ascii="Arial" w:cs="Arial" w:eastAsia="Arial" w:hAnsi="Arial"/>
                <w:color w:val="99AACC"/>
                <w:sz w:val="18"/>
                <w:szCs w:val="18"/>
              </w:rPr>
              <w:t xml:space="preserve">SECTION 02  </w:t>
            </w:r>
            <w:r>
              <w:rPr>
                <w:rFonts w:ascii="Arial" w:cs="Arial" w:eastAsia="Arial" w:hAnsi="Arial"/>
                <w:b/>
                <w:bCs/>
                <w:color w:val="FFFFFF"/>
                <w:sz w:val="26"/>
                <w:szCs w:val="26"/>
              </w:rPr>
              <w:t xml:space="preserve">SYSTEM ARCHITECTURE</w:t>
            </w:r>
          </w:p>
          <w:p>
            <w:pPr>
              <w:spacing w:after="0" w:before="0"/>
            </w:pPr>
            <w:r>
              <w:rPr>
                <w:rFonts w:ascii="Arial" w:cs="Arial" w:eastAsia="Arial" w:hAnsi="Arial"/>
                <w:color w:val="AABBDD"/>
                <w:sz w:val="20"/>
                <w:szCs w:val="20"/>
              </w:rPr>
              <w:t xml:space="preserve">Four-layer end-to-end technical overview</w:t>
            </w:r>
          </w:p>
        </w:tc>
      </w:tr>
    </w:tbl>
    <w:p>
      <w:pPr>
        <w:spacing w:after="0" w:before="160"/>
      </w:pPr>
    </w:p>
    <w:p>
      <w:pPr>
        <w:spacing w:after="80" w:before="80"/>
        <w:jc w:val="both"/>
      </w:pPr>
      <w:r>
        <w:rPr>
          <w:rFonts w:ascii="Arial" w:cs="Arial" w:eastAsia="Arial" w:hAnsi="Arial"/>
          <w:color w:val="1A1A1A"/>
          <w:sz w:val="22"/>
          <w:szCs w:val="22"/>
        </w:rPr>
        <w:t xml:space="preserve">The system is organized into four distinct layers, each with a clear responsibility boundary. Data flows downward from the patient's mobile device through the reconstruction and analysis pipeline to persistent storage, then feeds the longitudinal comparison engine on each subsequent scan.</w:t>
      </w:r>
    </w:p>
    <w:p>
      <w:pPr>
        <w:spacing w:after="0" w:before="160"/>
      </w:pPr>
    </w:p>
    <w:p>
      <w:pPr>
        <w:pStyle w:val="Heading2"/>
        <w:spacing w:after="120" w:before="280"/>
      </w:pPr>
      <w:r>
        <w:rPr>
          <w:rFonts w:ascii="Arial" w:cs="Arial" w:eastAsia="Arial" w:hAnsi="Arial"/>
          <w:b/>
          <w:bCs/>
          <w:color w:val="0F6E56"/>
          <w:sz w:val="28"/>
          <w:szCs w:val="28"/>
        </w:rPr>
        <w:t xml:space="preserve">2.1  Architecture layers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160"/>
        <w:gridCol w:w="26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r>
      <w:tr>
        <w:tc>
          <w:tcPr>
            <w:tcW w:type="dxa" w:w="1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1A1A1A"/>
                <w:sz w:val="20"/>
                <w:szCs w:val="20"/>
              </w:rPr>
              <w:t xml:space="preserve">Mobile client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Capture, quality enforcement, on-device preprocessing, encryption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ARKit / ARCore, MediaPipe, TrueDepth / ToF</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3D reconstruction pipeline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Volumetric fusion, mesh generation, UV texture projection, lighting normalization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TSDF fusion, Marching Cubes, Open3D, GPU workers</w:t>
            </w:r>
          </w:p>
        </w:tc>
      </w:tr>
      <w:tr>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1A"/>
                <w:sz w:val="20"/>
                <w:szCs w:val="20"/>
              </w:rPr>
              <w:t xml:space="preserve">AI skin analysis engine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Multi-model condition detection, severity scoring, confidence mapping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SegFormer, YOLOv8, custom regression models, ensemble voting</w:t>
            </w:r>
          </w:p>
        </w:tc>
      </w:tr>
      <w:tr>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1A"/>
                <w:sz w:val="20"/>
                <w:szCs w:val="20"/>
              </w:rPr>
              <w:t xml:space="preserve">Longitudinal comparison engine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Scan alignment, delta computation, triple-filter change confirmation, report generation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Non-rigid ICP, Basel Face Model, statistical significance testing</w:t>
            </w:r>
          </w:p>
        </w:tc>
      </w:tr>
    </w:tbl>
    <w:p>
      <w:pPr>
        <w:spacing w:after="0" w:before="240"/>
      </w:pPr>
    </w:p>
    <w:p>
      <w:pPr>
        <w:pStyle w:val="Heading2"/>
        <w:spacing w:after="120" w:before="280"/>
      </w:pPr>
      <w:r>
        <w:rPr>
          <w:rFonts w:ascii="Arial" w:cs="Arial" w:eastAsia="Arial" w:hAnsi="Arial"/>
          <w:b/>
          <w:bCs/>
          <w:color w:val="0F6E56"/>
          <w:sz w:val="28"/>
          <w:szCs w:val="28"/>
        </w:rPr>
        <w:t xml:space="preserve">2.2  Data flow summary</w:t>
      </w:r>
    </w:p>
    <w:p>
      <w:pPr>
        <w:spacing w:after="80" w:before="80"/>
        <w:jc w:val="both"/>
      </w:pPr>
      <w:r>
        <w:rPr>
          <w:rFonts w:ascii="Arial" w:cs="Arial" w:eastAsia="Arial" w:hAnsi="Arial"/>
          <w:color w:val="1A1A1A"/>
          <w:sz w:val="22"/>
          <w:szCs w:val="22"/>
        </w:rPr>
        <w:t xml:space="preserve">At each scan session, the patient performs a guided capture on their mobile device. The device enforces quality conditions (lighting, distance, expression, frame sharpness) before accepting the scan. The captured multi-frame depth + RGB data is encrypted on-device and transmitted to the server-side pipeline. The reconstruction pipeline fuses depth frames into a 3D mesh, projects the RGB texture onto the mesh surface, and passes the result to the AI analysis engine. The engine runs multiple specialized models and outputs a condition annotation map with severity scores and confidence values. The complete scan package is stored in the patient's encrypted data vault. If a prior scan exists, the comparison engine automatically aligns the two scans, computes all deltas, and generates a longitudinal change report for dermatologist review.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after="40" w:before="0"/>
            </w:pPr>
            <w:r>
              <w:rPr>
                <w:rFonts w:ascii="Arial" w:cs="Arial" w:eastAsia="Arial" w:hAnsi="Arial"/>
                <w:color w:val="99AACC"/>
                <w:sz w:val="18"/>
                <w:szCs w:val="18"/>
              </w:rPr>
              <w:t xml:space="preserve">SECTION 03  </w:t>
            </w:r>
            <w:r>
              <w:rPr>
                <w:rFonts w:ascii="Arial" w:cs="Arial" w:eastAsia="Arial" w:hAnsi="Arial"/>
                <w:b/>
                <w:bCs/>
                <w:color w:val="FFFFFF"/>
                <w:sz w:val="26"/>
                <w:szCs w:val="26"/>
              </w:rPr>
              <w:t xml:space="preserve">CAPTURE PIPELINE &amp; QUALITY CONTROL</w:t>
            </w:r>
          </w:p>
          <w:p>
            <w:pPr>
              <w:spacing w:after="0" w:before="0"/>
            </w:pPr>
            <w:r>
              <w:rPr>
                <w:rFonts w:ascii="Arial" w:cs="Arial" w:eastAsia="Arial" w:hAnsi="Arial"/>
                <w:color w:val="AABBDD"/>
                <w:sz w:val="20"/>
                <w:szCs w:val="20"/>
              </w:rPr>
              <w:t xml:space="preserve">How the system ensures scan consistency and rejects poor-quality inputs</w:t>
            </w:r>
          </w:p>
        </w:tc>
      </w:tr>
    </w:tbl>
    <w:p>
      <w:pPr>
        <w:spacing w:after="0" w:before="160"/>
      </w:pPr>
    </w:p>
    <w:p>
      <w:pPr>
        <w:spacing w:after="80" w:before="80"/>
        <w:jc w:val="both"/>
      </w:pPr>
      <w:r>
        <w:rPr>
          <w:rFonts w:ascii="Arial" w:cs="Arial" w:eastAsia="Arial" w:hAnsi="Arial"/>
          <w:color w:val="1A1A1A"/>
          <w:sz w:val="22"/>
          <w:szCs w:val="22"/>
        </w:rPr>
        <w:t xml:space="preserve">The quality of every downstream analysis step is bounded by the quality of the captured input. This section describes the hardware requirements, quality enforcement mechanisms, and preprocessing steps that occur on the patient's mobile device before any data is transmitted.</w:t>
      </w:r>
    </w:p>
    <w:p>
      <w:pPr>
        <w:spacing w:after="0" w:before="160"/>
      </w:pPr>
    </w:p>
    <w:p>
      <w:pPr>
        <w:pStyle w:val="Heading2"/>
        <w:spacing w:after="120" w:before="280"/>
      </w:pPr>
      <w:r>
        <w:rPr>
          <w:rFonts w:ascii="Arial" w:cs="Arial" w:eastAsia="Arial" w:hAnsi="Arial"/>
          <w:b/>
          <w:bCs/>
          <w:color w:val="0F6E56"/>
          <w:sz w:val="28"/>
          <w:szCs w:val="28"/>
        </w:rPr>
        <w:t xml:space="preserve">3.1  Hardware sensors used</w:t>
      </w:r>
    </w:p>
    <w:p>
      <w:pPr>
        <w:pStyle w:val="ListParagraph"/>
        <w:numPr>
          <w:ilvl w:val="0"/>
          <w:numId w:val="2"/>
        </w:numPr>
        <w:spacing w:after="60" w:before="60"/>
      </w:pPr>
      <w:r>
        <w:rPr>
          <w:rFonts w:ascii="Arial" w:cs="Arial" w:eastAsia="Arial" w:hAnsi="Arial"/>
          <w:color w:val="1A1A1A"/>
          <w:sz w:val="22"/>
          <w:szCs w:val="22"/>
        </w:rPr>
        <w:t xml:space="preserve">RGB camera: minimum 12MP, used for texture, color, and surface condition detection</w:t>
      </w:r>
    </w:p>
    <w:p>
      <w:pPr>
        <w:pStyle w:val="ListParagraph"/>
        <w:numPr>
          <w:ilvl w:val="0"/>
          <w:numId w:val="2"/>
        </w:numPr>
        <w:spacing w:after="60" w:before="60"/>
      </w:pPr>
      <w:r>
        <w:rPr>
          <w:rFonts w:ascii="Arial" w:cs="Arial" w:eastAsia="Arial" w:hAnsi="Arial"/>
          <w:color w:val="1A1A1A"/>
          <w:sz w:val="22"/>
          <w:szCs w:val="22"/>
        </w:rPr>
        <w:t xml:space="preserve">Depth sensor: Apple TrueDepth (structured light, ~0.5mm accuracy at 25cm) on iOS, or Time-of-Flight sensor on compatible Android devices</w:t>
      </w:r>
    </w:p>
    <w:p>
      <w:pPr>
        <w:pStyle w:val="ListParagraph"/>
        <w:numPr>
          <w:ilvl w:val="0"/>
          <w:numId w:val="2"/>
        </w:numPr>
        <w:spacing w:after="60" w:before="60"/>
      </w:pPr>
      <w:r>
        <w:rPr>
          <w:rFonts w:ascii="Arial" w:cs="Arial" w:eastAsia="Arial" w:hAnsi="Arial"/>
          <w:color w:val="1A1A1A"/>
          <w:sz w:val="22"/>
          <w:szCs w:val="22"/>
        </w:rPr>
        <w:t xml:space="preserve">Infrared illuminator: provides consistent illumination for depth capture in low ambient light</w:t>
      </w:r>
    </w:p>
    <w:p>
      <w:pPr>
        <w:pStyle w:val="ListParagraph"/>
        <w:numPr>
          <w:ilvl w:val="0"/>
          <w:numId w:val="2"/>
        </w:numPr>
        <w:spacing w:after="60" w:before="60"/>
      </w:pPr>
      <w:r>
        <w:rPr>
          <w:rFonts w:ascii="Arial" w:cs="Arial" w:eastAsia="Arial" w:hAnsi="Arial"/>
          <w:color w:val="1A1A1A"/>
          <w:sz w:val="22"/>
          <w:szCs w:val="22"/>
        </w:rPr>
        <w:t xml:space="preserve">Gyroscope + accelerometer: used to detect motion blur and enforce head stability during capture</w:t>
      </w:r>
    </w:p>
    <w:p>
      <w:pPr>
        <w:spacing w:after="0" w:before="160"/>
      </w:pPr>
    </w:p>
    <w:p>
      <w:pPr>
        <w:pStyle w:val="Heading2"/>
        <w:spacing w:after="120" w:before="280"/>
      </w:pPr>
      <w:r>
        <w:rPr>
          <w:rFonts w:ascii="Arial" w:cs="Arial" w:eastAsia="Arial" w:hAnsi="Arial"/>
          <w:b/>
          <w:bCs/>
          <w:color w:val="0F6E56"/>
          <w:sz w:val="28"/>
          <w:szCs w:val="28"/>
        </w:rPr>
        <w:t xml:space="preserve">3.2  Capture quality enforcement (mandatory gates)</w:t>
      </w:r>
    </w:p>
    <w:p>
      <w:pPr>
        <w:spacing w:after="80" w:before="80"/>
        <w:jc w:val="both"/>
      </w:pPr>
      <w:r>
        <w:rPr>
          <w:rFonts w:ascii="Arial" w:cs="Arial" w:eastAsia="Arial" w:hAnsi="Arial"/>
          <w:color w:val="1A1A1A"/>
          <w:sz w:val="22"/>
          <w:szCs w:val="22"/>
        </w:rPr>
        <w:t xml:space="preserve">Every scan passes through four mandatory quality gates before being accepted. Failure at any gate triggers a user prompt to correct conditions. Repeated failures trigger a re-scan request with specific guidance.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2800"/>
            <w:tcBorders>
              <w:top w:val="none" w:color="FFFFFF" w:sz="0"/>
              <w:left w:val="none" w:color="FFFFFF" w:sz="0"/>
              <w:bottom w:val="none" w:color="FFFFFF" w:sz="0"/>
              <w:right w:val="none" w:color="FFFFFF" w:sz="0"/>
            </w:tcBorders>
            <w:shd w:fill="E6F1FB" w:val="clear"/>
            <w:tcMar>
              <w:top w:type="dxa" w:w="100"/>
              <w:left w:type="dxa" w:w="160"/>
              <w:bottom w:type="dxa" w:w="100"/>
              <w:right w:type="dxa" w:w="160"/>
            </w:tcMar>
            <w:vAlign w:val="center"/>
          </w:tcPr>
          <w:p>
            <w:r>
              <w:rPr>
                <w:rFonts w:ascii="Arial" w:cs="Arial" w:eastAsia="Arial" w:hAnsi="Arial"/>
                <w:b/>
                <w:bCs/>
                <w:color w:val="1B3A6B"/>
                <w:sz w:val="21"/>
                <w:szCs w:val="21"/>
              </w:rPr>
              <w:t xml:space="preserve">Lighting lock</w:t>
            </w:r>
          </w:p>
        </w:tc>
        <w:tc>
          <w:tcPr>
            <w:tcW w:type="dxa" w:w="59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r>
              <w:rPr>
                <w:rFonts w:ascii="Arial" w:cs="Arial" w:eastAsia="Arial" w:hAnsi="Arial"/>
                <w:color w:val="1A1A1A"/>
                <w:sz w:val="20"/>
                <w:szCs w:val="20"/>
              </w:rPr>
              <w:t xml:space="preserve">Measures ambient lux and color temperature. Requires &gt;300 lux, color temperature 4000–6500K, no strong directional shadows. User is guided to face a window or use diffuse indoor light. Rejects scan if conditions fail.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2800"/>
            <w:tcBorders>
              <w:top w:val="none" w:color="FFFFFF" w:sz="0"/>
              <w:left w:val="none" w:color="FFFFFF" w:sz="0"/>
              <w:bottom w:val="none" w:color="FFFFFF" w:sz="0"/>
              <w:right w:val="none" w:color="FFFFFF" w:sz="0"/>
            </w:tcBorders>
            <w:shd w:fill="E6F1FB" w:val="clear"/>
            <w:tcMar>
              <w:top w:type="dxa" w:w="100"/>
              <w:left w:type="dxa" w:w="160"/>
              <w:bottom w:type="dxa" w:w="100"/>
              <w:right w:type="dxa" w:w="160"/>
            </w:tcMar>
            <w:vAlign w:val="center"/>
          </w:tcPr>
          <w:p>
            <w:r>
              <w:rPr>
                <w:rFonts w:ascii="Arial" w:cs="Arial" w:eastAsia="Arial" w:hAnsi="Arial"/>
                <w:b/>
                <w:bCs/>
                <w:color w:val="1B3A6B"/>
                <w:sz w:val="21"/>
                <w:szCs w:val="21"/>
              </w:rPr>
              <w:t xml:space="preserve">Distance &amp; angle lock</w:t>
            </w:r>
          </w:p>
        </w:tc>
        <w:tc>
          <w:tcPr>
            <w:tcW w:type="dxa" w:w="59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r>
              <w:rPr>
                <w:rFonts w:ascii="Arial" w:cs="Arial" w:eastAsia="Arial" w:hAnsi="Arial"/>
                <w:color w:val="1A1A1A"/>
                <w:sz w:val="20"/>
                <w:szCs w:val="20"/>
              </w:rPr>
              <w:t xml:space="preserve">Uses face mesh bounding box to enforce 20–25cm capture distance. AR overlay guides patient to correct position. Maximum permitted tilt: ±5° yaw, ±3° pitch. Rejects outside tolerance.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2800"/>
            <w:tcBorders>
              <w:top w:val="none" w:color="FFFFFF" w:sz="0"/>
              <w:left w:val="none" w:color="FFFFFF" w:sz="0"/>
              <w:bottom w:val="none" w:color="FFFFFF" w:sz="0"/>
              <w:right w:val="none" w:color="FFFFFF" w:sz="0"/>
            </w:tcBorders>
            <w:shd w:fill="E6F1FB" w:val="clear"/>
            <w:tcMar>
              <w:top w:type="dxa" w:w="100"/>
              <w:left w:type="dxa" w:w="160"/>
              <w:bottom w:type="dxa" w:w="100"/>
              <w:right w:type="dxa" w:w="160"/>
            </w:tcMar>
            <w:vAlign w:val="center"/>
          </w:tcPr>
          <w:p>
            <w:r>
              <w:rPr>
                <w:rFonts w:ascii="Arial" w:cs="Arial" w:eastAsia="Arial" w:hAnsi="Arial"/>
                <w:b/>
                <w:bCs/>
                <w:color w:val="1B3A6B"/>
                <w:sz w:val="21"/>
                <w:szCs w:val="21"/>
              </w:rPr>
              <w:t xml:space="preserve">Expression lock</w:t>
            </w:r>
          </w:p>
        </w:tc>
        <w:tc>
          <w:tcPr>
            <w:tcW w:type="dxa" w:w="59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r>
              <w:rPr>
                <w:rFonts w:ascii="Arial" w:cs="Arial" w:eastAsia="Arial" w:hAnsi="Arial"/>
                <w:color w:val="1A1A1A"/>
                <w:sz w:val="20"/>
                <w:szCs w:val="20"/>
              </w:rPr>
              <w:t xml:space="preserve">Facial Action Unit (AU) detector running on-device checks for neutral expression: mouth closed, eyes open, no raised brows, no smile contraction. Consistent neutral expression is critical for geometry comparison across sessions.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2800"/>
            <w:tcBorders>
              <w:top w:val="none" w:color="FFFFFF" w:sz="0"/>
              <w:left w:val="none" w:color="FFFFFF" w:sz="0"/>
              <w:bottom w:val="none" w:color="FFFFFF" w:sz="0"/>
              <w:right w:val="none" w:color="FFFFFF" w:sz="0"/>
            </w:tcBorders>
            <w:shd w:fill="E6F1FB" w:val="clear"/>
            <w:tcMar>
              <w:top w:type="dxa" w:w="100"/>
              <w:left w:type="dxa" w:w="160"/>
              <w:bottom w:type="dxa" w:w="100"/>
              <w:right w:type="dxa" w:w="160"/>
            </w:tcMar>
            <w:vAlign w:val="center"/>
          </w:tcPr>
          <w:p>
            <w:r>
              <w:rPr>
                <w:rFonts w:ascii="Arial" w:cs="Arial" w:eastAsia="Arial" w:hAnsi="Arial"/>
                <w:b/>
                <w:bCs/>
                <w:color w:val="1B3A6B"/>
                <w:sz w:val="21"/>
                <w:szCs w:val="21"/>
              </w:rPr>
              <w:t xml:space="preserve">Frame quality scoring</w:t>
            </w:r>
          </w:p>
        </w:tc>
        <w:tc>
          <w:tcPr>
            <w:tcW w:type="dxa" w:w="59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r>
              <w:rPr>
                <w:rFonts w:ascii="Arial" w:cs="Arial" w:eastAsia="Arial" w:hAnsi="Arial"/>
                <w:color w:val="1A1A1A"/>
                <w:sz w:val="20"/>
                <w:szCs w:val="20"/>
              </w:rPr>
              <w:t xml:space="preserve">Captures 60 frames. Each frame is scored for sharpness (Laplacian variance), exposure (histogram analysis), and depth map completeness (coverage of all facial zones). Top 20 frames per facial zone are retained for reconstruction.</w:t>
            </w:r>
          </w:p>
        </w:tc>
      </w:tr>
    </w:tbl>
    <w:p>
      <w:pPr>
        <w:spacing w:after="0" w:before="240"/>
      </w:pPr>
    </w:p>
    <w:p>
      <w:pPr>
        <w:pStyle w:val="Heading2"/>
        <w:spacing w:after="120" w:before="280"/>
      </w:pPr>
      <w:r>
        <w:rPr>
          <w:rFonts w:ascii="Arial" w:cs="Arial" w:eastAsia="Arial" w:hAnsi="Arial"/>
          <w:b/>
          <w:bCs/>
          <w:color w:val="0F6E56"/>
          <w:sz w:val="28"/>
          <w:szCs w:val="28"/>
        </w:rPr>
        <w:t xml:space="preserve">3.3  On-device preprocessing</w:t>
      </w:r>
    </w:p>
    <w:p>
      <w:pPr>
        <w:pStyle w:val="ListParagraph"/>
        <w:numPr>
          <w:ilvl w:val="0"/>
          <w:numId w:val="2"/>
        </w:numPr>
        <w:spacing w:after="60" w:before="60"/>
      </w:pPr>
      <w:r>
        <w:rPr>
          <w:rFonts w:ascii="Arial" w:cs="Arial" w:eastAsia="Arial" w:hAnsi="Arial"/>
          <w:color w:val="1A1A1A"/>
          <w:sz w:val="22"/>
          <w:szCs w:val="22"/>
        </w:rPr>
        <w:t xml:space="preserve">Face alignment: 468-point facial landmark detection (MediaPipe FaceMesh) applied to each frame; used to register frames to a canonical orientation before upload</w:t>
      </w:r>
    </w:p>
    <w:p>
      <w:pPr>
        <w:pStyle w:val="ListParagraph"/>
        <w:numPr>
          <w:ilvl w:val="0"/>
          <w:numId w:val="2"/>
        </w:numPr>
        <w:spacing w:after="60" w:before="60"/>
      </w:pPr>
      <w:r>
        <w:rPr>
          <w:rFonts w:ascii="Arial" w:cs="Arial" w:eastAsia="Arial" w:hAnsi="Arial"/>
          <w:color w:val="1A1A1A"/>
          <w:sz w:val="22"/>
          <w:szCs w:val="22"/>
        </w:rPr>
        <w:t xml:space="preserve">Depth-RGB synchronization: temporal alignment of RGB and depth frames to within 1ms to prevent misregistration artifacts</w:t>
      </w:r>
    </w:p>
    <w:p>
      <w:pPr>
        <w:pStyle w:val="ListParagraph"/>
        <w:numPr>
          <w:ilvl w:val="0"/>
          <w:numId w:val="2"/>
        </w:numPr>
        <w:spacing w:after="60" w:before="60"/>
      </w:pPr>
      <w:r>
        <w:rPr>
          <w:rFonts w:ascii="Arial" w:cs="Arial" w:eastAsia="Arial" w:hAnsi="Arial"/>
          <w:color w:val="1A1A1A"/>
          <w:sz w:val="22"/>
          <w:szCs w:val="22"/>
        </w:rPr>
        <w:t xml:space="preserve">Encryption: AES-256 encryption of all scan data before transmission; decryption keys are user-specific and never stored server-side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after="40" w:before="0"/>
            </w:pPr>
            <w:r>
              <w:rPr>
                <w:rFonts w:ascii="Arial" w:cs="Arial" w:eastAsia="Arial" w:hAnsi="Arial"/>
                <w:color w:val="99AACC"/>
                <w:sz w:val="18"/>
                <w:szCs w:val="18"/>
              </w:rPr>
              <w:t xml:space="preserve">SECTION 04  </w:t>
            </w:r>
            <w:r>
              <w:rPr>
                <w:rFonts w:ascii="Arial" w:cs="Arial" w:eastAsia="Arial" w:hAnsi="Arial"/>
                <w:b/>
                <w:bCs/>
                <w:color w:val="FFFFFF"/>
                <w:sz w:val="26"/>
                <w:szCs w:val="26"/>
              </w:rPr>
              <w:t xml:space="preserve">3D RECONSTRUCTION PIPELINE</w:t>
            </w:r>
          </w:p>
          <w:p>
            <w:pPr>
              <w:spacing w:after="0" w:before="0"/>
            </w:pPr>
            <w:r>
              <w:rPr>
                <w:rFonts w:ascii="Arial" w:cs="Arial" w:eastAsia="Arial" w:hAnsi="Arial"/>
                <w:color w:val="AABBDD"/>
                <w:sz w:val="20"/>
                <w:szCs w:val="20"/>
              </w:rPr>
              <w:t xml:space="preserve">From raw depth frames to a textured, analyzable 3D facial model</w:t>
            </w:r>
          </w:p>
        </w:tc>
      </w:tr>
    </w:tbl>
    <w:p>
      <w:pPr>
        <w:spacing w:after="0" w:before="160"/>
      </w:pPr>
    </w:p>
    <w:p>
      <w:pPr>
        <w:spacing w:after="80" w:before="80"/>
        <w:jc w:val="both"/>
      </w:pPr>
      <w:r>
        <w:rPr>
          <w:rFonts w:ascii="Arial" w:cs="Arial" w:eastAsia="Arial" w:hAnsi="Arial"/>
          <w:color w:val="1A1A1A"/>
          <w:sz w:val="22"/>
          <w:szCs w:val="22"/>
        </w:rPr>
        <w:t xml:space="preserve">The reconstruction pipeline converts the 20–60 depth and RGB frames captured per session into a single, unified 3D mesh of the patient's face with a photorealistic texture map. This mesh forms the geometric substrate on which all skin condition analysis is performed.</w:t>
      </w:r>
    </w:p>
    <w:p>
      <w:pPr>
        <w:spacing w:after="0" w:before="160"/>
      </w:pPr>
    </w:p>
    <w:p>
      <w:pPr>
        <w:pStyle w:val="Heading2"/>
        <w:spacing w:after="120" w:before="280"/>
      </w:pPr>
      <w:r>
        <w:rPr>
          <w:rFonts w:ascii="Arial" w:cs="Arial" w:eastAsia="Arial" w:hAnsi="Arial"/>
          <w:b/>
          <w:bCs/>
          <w:color w:val="0F6E56"/>
          <w:sz w:val="28"/>
          <w:szCs w:val="28"/>
        </w:rPr>
        <w:t xml:space="preserve">4.1  Reconstruction algorithm: TSDF volumetric fusion</w:t>
      </w:r>
    </w:p>
    <w:p>
      <w:pPr>
        <w:spacing w:after="80" w:before="80"/>
        <w:jc w:val="both"/>
      </w:pPr>
      <w:r>
        <w:rPr>
          <w:rFonts w:ascii="Arial" w:cs="Arial" w:eastAsia="Arial" w:hAnsi="Arial"/>
          <w:color w:val="1A1A1A"/>
          <w:sz w:val="22"/>
          <w:szCs w:val="22"/>
        </w:rPr>
        <w:t xml:space="preserve">The system uses Truncated Signed Distance Function (TSDF) volumetric fusion, the same algorithmic class used in clinical 3D imaging systems such as KinectFusion and its medical derivatives. Each depth frame 'votes' into a 3D voxel grid representing the face region. Voxels near the surface receive votes; voxels far from the surface are ignored (truncated). After all frames are integrated, the mesh surface is extracted from the zero-crossing of the accumulated signed distance field using the Marching Cubes algorithm.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40" w:before="0"/>
            </w:pPr>
            <w:r>
              <w:rPr>
                <w:rFonts w:ascii="Arial" w:cs="Arial" w:eastAsia="Arial" w:hAnsi="Arial"/>
                <w:b/>
                <w:bCs/>
                <w:color w:val="1B3A6B"/>
                <w:sz w:val="22"/>
                <w:szCs w:val="22"/>
              </w:rPr>
              <w:t xml:space="preserve">Why TSDF?</w:t>
            </w:r>
          </w:p>
          <w:p>
            <w:pPr>
              <w:spacing w:after="0" w:before="0"/>
              <w:jc w:val="both"/>
            </w:pPr>
            <w:r>
              <w:rPr>
                <w:rFonts w:ascii="Arial" w:cs="Arial" w:eastAsia="Arial" w:hAnsi="Arial"/>
                <w:color w:val="1A1A1A"/>
                <w:sz w:val="21"/>
                <w:szCs w:val="21"/>
              </w:rPr>
              <w:t xml:space="preserve">Single-frame depth maps contain significant noise (~1mm RMS on TrueDepth at 25cm). TSDF fusion averages across all captured frames, reducing noise proportional to the square root of frame count. With 20 fused frames, effective noise drops to approximately 0.22mm — sufficient to detect fine wrinkle structure and pore-level surface topology.</w:t>
            </w:r>
          </w:p>
        </w:tc>
      </w:tr>
    </w:tbl>
    <w:p>
      <w:pPr>
        <w:spacing w:after="0" w:before="160"/>
      </w:pPr>
    </w:p>
    <w:p>
      <w:pPr>
        <w:pStyle w:val="Heading2"/>
        <w:spacing w:after="120" w:before="280"/>
      </w:pPr>
      <w:r>
        <w:rPr>
          <w:rFonts w:ascii="Arial" w:cs="Arial" w:eastAsia="Arial" w:hAnsi="Arial"/>
          <w:b/>
          <w:bCs/>
          <w:color w:val="0F6E56"/>
          <w:sz w:val="28"/>
          <w:szCs w:val="28"/>
        </w:rPr>
        <w:t xml:space="preserve">4.2  Step-by-step reconstruction flow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500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5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 notes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4.2.1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 registration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Aligns all depth frames to a common coordinate system using facial landmarks as anchor points. Non-rigid alignment compensates for micro-movements during capture.</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4.2.2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TSDF volumetric fusion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Integrates all registered depth frames into a 3D voxel grid at 0.5mm voxel resolution. Each voxel stores a signed distance value and a weight (number of frames that observed it).</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4.2.3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Mesh extraction (Marching Cubes)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Extracts a triangulated surface mesh from the TSDF grid at the zero-isosurface. Typical output: ~150,000 triangles for a full face at clinical resolution. Output format: .OBJ</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4.2.4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Mesh refinement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Laplacian smoothing to remove reconstruction artifacts. Hole filling for occluded regions (nostrils, inner canthi). Mesh decimation to ~80,000 triangles for storage efficiency while preserving feature detail.</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4.2.5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UV texture unwrapping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bijective UV map is computed from the mesh surface to a 2D texture atlas (4096×4096 px). Each UV texel corresponds to a unique point on the facial surface.</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4.2.6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Texture projection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High-resolution RGB frames are projected onto the UV atlas. Multiple frames contribute to each texel; the highest-quality, best-lit contribution per texel is selected by the frame quality scorer.</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4.2.7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Illumination normalization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Retinex algorithm separates reflectance (intrinsic skin appearance) from shading (lighting effects). The normalized reflectance layer is stored as the analysis texture. This eliminates lighting as a confounding variable in condition detection.</w:t>
            </w:r>
          </w:p>
        </w:tc>
      </w:tr>
    </w:tbl>
    <w:p>
      <w:pPr>
        <w:spacing w:after="0" w:before="240"/>
      </w:pPr>
    </w:p>
    <w:p>
      <w:pPr>
        <w:pStyle w:val="Heading2"/>
        <w:spacing w:after="120" w:before="280"/>
      </w:pPr>
      <w:r>
        <w:rPr>
          <w:rFonts w:ascii="Arial" w:cs="Arial" w:eastAsia="Arial" w:hAnsi="Arial"/>
          <w:b/>
          <w:bCs/>
          <w:color w:val="0F6E56"/>
          <w:sz w:val="28"/>
          <w:szCs w:val="28"/>
        </w:rPr>
        <w:t xml:space="preserve">4.3  Stored scan package</w:t>
      </w:r>
    </w:p>
    <w:p>
      <w:pPr>
        <w:spacing w:after="80" w:before="80"/>
        <w:jc w:val="both"/>
      </w:pPr>
      <w:r>
        <w:rPr>
          <w:rFonts w:ascii="Arial" w:cs="Arial" w:eastAsia="Arial" w:hAnsi="Arial"/>
          <w:color w:val="1A1A1A"/>
          <w:sz w:val="22"/>
          <w:szCs w:val="22"/>
        </w:rPr>
        <w:t xml:space="preserve">Each completed scan produces the following stored files per patient session:</w:t>
      </w:r>
    </w:p>
    <w:p>
      <w:pPr>
        <w:pStyle w:val="ListParagraph"/>
        <w:numPr>
          <w:ilvl w:val="0"/>
          <w:numId w:val="2"/>
        </w:numPr>
        <w:spacing w:after="60" w:before="60"/>
      </w:pPr>
      <w:r>
        <w:rPr>
          <w:rFonts w:ascii="Arial" w:cs="Arial" w:eastAsia="Arial" w:hAnsi="Arial"/>
          <w:color w:val="1A1A1A"/>
          <w:sz w:val="22"/>
          <w:szCs w:val="22"/>
        </w:rPr>
        <w:t xml:space="preserve">mesh.obj — triangulated 3D surface mesh (~80,000 triangles)</w:t>
      </w:r>
    </w:p>
    <w:p>
      <w:pPr>
        <w:pStyle w:val="ListParagraph"/>
        <w:numPr>
          <w:ilvl w:val="0"/>
          <w:numId w:val="2"/>
        </w:numPr>
        <w:spacing w:after="60" w:before="60"/>
      </w:pPr>
      <w:r>
        <w:rPr>
          <w:rFonts w:ascii="Arial" w:cs="Arial" w:eastAsia="Arial" w:hAnsi="Arial"/>
          <w:color w:val="1A1A1A"/>
          <w:sz w:val="22"/>
          <w:szCs w:val="22"/>
        </w:rPr>
        <w:t xml:space="preserve">texture_normalized.png — illumination-normalized 4096×4096px UV texture atlas</w:t>
      </w:r>
    </w:p>
    <w:p>
      <w:pPr>
        <w:pStyle w:val="ListParagraph"/>
        <w:numPr>
          <w:ilvl w:val="0"/>
          <w:numId w:val="2"/>
        </w:numPr>
        <w:spacing w:after="60" w:before="60"/>
      </w:pPr>
      <w:r>
        <w:rPr>
          <w:rFonts w:ascii="Arial" w:cs="Arial" w:eastAsia="Arial" w:hAnsi="Arial"/>
          <w:color w:val="1A1A1A"/>
          <w:sz w:val="22"/>
          <w:szCs w:val="22"/>
        </w:rPr>
        <w:t xml:space="preserve">texture_raw.png — original (non-normalized) texture for visual reference</w:t>
      </w:r>
    </w:p>
    <w:p>
      <w:pPr>
        <w:pStyle w:val="ListParagraph"/>
        <w:numPr>
          <w:ilvl w:val="0"/>
          <w:numId w:val="2"/>
        </w:numPr>
        <w:spacing w:after="60" w:before="60"/>
      </w:pPr>
      <w:r>
        <w:rPr>
          <w:rFonts w:ascii="Arial" w:cs="Arial" w:eastAsia="Arial" w:hAnsi="Arial"/>
          <w:color w:val="1A1A1A"/>
          <w:sz w:val="22"/>
          <w:szCs w:val="22"/>
        </w:rPr>
        <w:t xml:space="preserve">depth_map.float32 — raw per-vertex depth measurements with uncertainty estimates</w:t>
      </w:r>
    </w:p>
    <w:p>
      <w:pPr>
        <w:pStyle w:val="ListParagraph"/>
        <w:numPr>
          <w:ilvl w:val="0"/>
          <w:numId w:val="2"/>
        </w:numPr>
        <w:spacing w:after="60" w:before="60"/>
      </w:pPr>
      <w:r>
        <w:rPr>
          <w:rFonts w:ascii="Arial" w:cs="Arial" w:eastAsia="Arial" w:hAnsi="Arial"/>
          <w:color w:val="1A1A1A"/>
          <w:sz w:val="22"/>
          <w:szCs w:val="22"/>
        </w:rPr>
        <w:t xml:space="preserve">conditions.json — per-UV-pixel condition labels and severity scores (see Section 6)</w:t>
      </w:r>
    </w:p>
    <w:p>
      <w:pPr>
        <w:pStyle w:val="ListParagraph"/>
        <w:numPr>
          <w:ilvl w:val="0"/>
          <w:numId w:val="2"/>
        </w:numPr>
        <w:spacing w:after="60" w:before="60"/>
      </w:pPr>
      <w:r>
        <w:rPr>
          <w:rFonts w:ascii="Arial" w:cs="Arial" w:eastAsia="Arial" w:hAnsi="Arial"/>
          <w:color w:val="1A1A1A"/>
          <w:sz w:val="22"/>
          <w:szCs w:val="22"/>
        </w:rPr>
        <w:t xml:space="preserve">metadata.json — capture timestamp, device model, sensor calibration, quality scores, Fitzpatrick type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after="40" w:before="0"/>
            </w:pPr>
            <w:r>
              <w:rPr>
                <w:rFonts w:ascii="Arial" w:cs="Arial" w:eastAsia="Arial" w:hAnsi="Arial"/>
                <w:color w:val="99AACC"/>
                <w:sz w:val="18"/>
                <w:szCs w:val="18"/>
              </w:rPr>
              <w:t xml:space="preserve">SECTION 05  </w:t>
            </w:r>
            <w:r>
              <w:rPr>
                <w:rFonts w:ascii="Arial" w:cs="Arial" w:eastAsia="Arial" w:hAnsi="Arial"/>
                <w:b/>
                <w:bCs/>
                <w:color w:val="FFFFFF"/>
                <w:sz w:val="26"/>
                <w:szCs w:val="26"/>
              </w:rPr>
              <w:t xml:space="preserve">SKIN CONDITION DETECTION</w:t>
            </w:r>
          </w:p>
          <w:p>
            <w:pPr>
              <w:spacing w:after="0" w:before="0"/>
            </w:pPr>
            <w:r>
              <w:rPr>
                <w:rFonts w:ascii="Arial" w:cs="Arial" w:eastAsia="Arial" w:hAnsi="Arial"/>
                <w:color w:val="AABBDD"/>
                <w:sz w:val="20"/>
                <w:szCs w:val="20"/>
              </w:rPr>
              <w:t xml:space="preserve">Complete taxonomy, detection signals, and AI model architecture</w:t>
            </w:r>
          </w:p>
        </w:tc>
      </w:tr>
    </w:tbl>
    <w:p>
      <w:pPr>
        <w:spacing w:after="0" w:before="160"/>
      </w:pPr>
    </w:p>
    <w:p>
      <w:pPr>
        <w:spacing w:after="80" w:before="80"/>
        <w:jc w:val="both"/>
      </w:pPr>
      <w:r>
        <w:rPr>
          <w:rFonts w:ascii="Arial" w:cs="Arial" w:eastAsia="Arial" w:hAnsi="Arial"/>
          <w:color w:val="1A1A1A"/>
          <w:sz w:val="22"/>
          <w:szCs w:val="22"/>
        </w:rPr>
        <w:t xml:space="preserve">Accurate skin condition detection requires matching the right imaging signal to each condition category. Using standard RGB imaging alone is insufficient — conditions like wrinkles require depth map analysis, subsurface pigmentation requires near-infrared imaging, and oiliness requires specular reflection analysis. This section documents all detectable conditions and their corresponding detection methodology.</w:t>
      </w:r>
    </w:p>
    <w:p>
      <w:pPr>
        <w:spacing w:after="0" w:before="160"/>
      </w:pPr>
    </w:p>
    <w:p>
      <w:pPr>
        <w:pStyle w:val="Heading2"/>
        <w:spacing w:after="120" w:before="280"/>
      </w:pPr>
      <w:r>
        <w:rPr>
          <w:rFonts w:ascii="Arial" w:cs="Arial" w:eastAsia="Arial" w:hAnsi="Arial"/>
          <w:b/>
          <w:bCs/>
          <w:color w:val="0F6E56"/>
          <w:sz w:val="28"/>
          <w:szCs w:val="28"/>
        </w:rPr>
        <w:t xml:space="preserve">5.1  Complete condition taxonomy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360"/>
        <w:gridCol w:w="26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signal</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Secondary signal</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Clinical scale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model type</w:t>
            </w:r>
          </w:p>
        </w:tc>
      </w:tr>
      <w:tr>
        <w:tc>
          <w:tcPr>
            <w:tcW w:type="dxa" w:w="2200"/>
            <w:tcBorders>
              <w:top w:val="single" w:color="CCCCCC" w:sz="1"/>
              <w:left w:val="single" w:color="CCCCCC" w:sz="1"/>
              <w:bottom w:val="single" w:color="CCCCCC" w:sz="1"/>
              <w:right w:val="single" w:color="CCCCCC" w:sz="1"/>
            </w:tcBorders>
            <w:shd w:fill="FFF8F6" w:val="clear"/>
            <w:tcMar>
              <w:top w:type="dxa" w:w="80"/>
              <w:left w:type="dxa" w:w="120"/>
              <w:bottom w:type="dxa" w:w="80"/>
              <w:right w:type="dxa" w:w="120"/>
            </w:tcMar>
          </w:tcPr>
          <w:p>
            <w:r>
              <w:rPr>
                <w:rFonts w:ascii="Arial" w:cs="Arial" w:eastAsia="Arial" w:hAnsi="Arial"/>
                <w:b w:val="false"/>
                <w:bCs w:val="false"/>
                <w:color w:val="1A1A1A"/>
                <w:sz w:val="20"/>
                <w:szCs w:val="20"/>
              </w:rPr>
              <w:t xml:space="preserve">Acne vulgaris (papules, pustules, nodules)</w:t>
            </w:r>
          </w:p>
        </w:tc>
        <w:tc>
          <w:tcPr>
            <w:tcW w:type="dxa" w:w="1600"/>
            <w:tcBorders>
              <w:top w:val="single" w:color="CCCCCC" w:sz="1"/>
              <w:left w:val="single" w:color="CCCCCC" w:sz="1"/>
              <w:bottom w:val="single" w:color="CCCCCC" w:sz="1"/>
              <w:right w:val="single" w:color="CCCCCC" w:sz="1"/>
            </w:tcBorders>
            <w:shd w:fill="FFF8F6"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High-res RGB</w:t>
            </w:r>
          </w:p>
        </w:tc>
        <w:tc>
          <w:tcPr>
            <w:tcW w:type="dxa" w:w="1600"/>
            <w:tcBorders>
              <w:top w:val="single" w:color="CCCCCC" w:sz="1"/>
              <w:left w:val="single" w:color="CCCCCC" w:sz="1"/>
              <w:bottom w:val="single" w:color="CCCCCC" w:sz="1"/>
              <w:right w:val="single" w:color="CCCCCC" w:sz="1"/>
            </w:tcBorders>
            <w:shd w:fill="FFF8F6" w:val="clear"/>
            <w:tcMar>
              <w:top w:type="dxa" w:w="80"/>
              <w:left w:type="dxa" w:w="120"/>
              <w:bottom w:type="dxa" w:w="80"/>
              <w:right w:type="dxa" w:w="120"/>
            </w:tcMar>
          </w:tcPr>
          <w:p>
            <w:r>
              <w:rPr>
                <w:rFonts w:ascii="Arial" w:cs="Arial" w:eastAsia="Arial" w:hAnsi="Arial"/>
                <w:b w:val="false"/>
                <w:bCs w:val="false"/>
                <w:color w:val="1A1A1A"/>
                <w:sz w:val="20"/>
                <w:szCs w:val="20"/>
              </w:rPr>
              <w:t xml:space="preserve">Depth micro-relief</w:t>
            </w:r>
          </w:p>
        </w:tc>
        <w:tc>
          <w:tcPr>
            <w:tcW w:type="dxa" w:w="1360"/>
            <w:tcBorders>
              <w:top w:val="single" w:color="CCCCCC" w:sz="1"/>
              <w:left w:val="single" w:color="CCCCCC" w:sz="1"/>
              <w:bottom w:val="single" w:color="CCCCCC" w:sz="1"/>
              <w:right w:val="single" w:color="CCCCCC" w:sz="1"/>
            </w:tcBorders>
            <w:shd w:fill="FFF8F6" w:val="clear"/>
            <w:tcMar>
              <w:top w:type="dxa" w:w="80"/>
              <w:left w:type="dxa" w:w="120"/>
              <w:bottom w:type="dxa" w:w="80"/>
              <w:right w:type="dxa" w:w="120"/>
            </w:tcMar>
          </w:tcPr>
          <w:p>
            <w:r>
              <w:rPr>
                <w:rFonts w:ascii="Arial" w:cs="Arial" w:eastAsia="Arial" w:hAnsi="Arial"/>
                <w:b w:val="false"/>
                <w:bCs w:val="false"/>
                <w:color w:val="1A1A1A"/>
                <w:sz w:val="20"/>
                <w:szCs w:val="20"/>
              </w:rPr>
              <w:t xml:space="preserve">IGA 0–4</w:t>
            </w:r>
          </w:p>
        </w:tc>
        <w:tc>
          <w:tcPr>
            <w:tcW w:type="dxa" w:w="2600"/>
            <w:tcBorders>
              <w:top w:val="single" w:color="CCCCCC" w:sz="1"/>
              <w:left w:val="single" w:color="CCCCCC" w:sz="1"/>
              <w:bottom w:val="single" w:color="CCCCCC" w:sz="1"/>
              <w:right w:val="single" w:color="CCCCCC" w:sz="1"/>
            </w:tcBorders>
            <w:shd w:fill="FFF8F6"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Instance segmentation (YOLOv8)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Comedones (blackheads, whiteheads)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4K+ macro RGB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Cross-polarized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 + grade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Dense keypoint detector</w:t>
            </w:r>
          </w:p>
        </w:tc>
      </w:tr>
      <w:tr>
        <w:tc>
          <w:tcPr>
            <w:tcW w:type="dxa" w:w="2200"/>
            <w:tcBorders>
              <w:top w:val="single" w:color="CCCCCC" w:sz="1"/>
              <w:left w:val="single" w:color="CCCCCC" w:sz="1"/>
              <w:bottom w:val="single" w:color="CCCCCC" w:sz="1"/>
              <w:right w:val="single" w:color="CCCCCC" w:sz="1"/>
            </w:tcBorders>
            <w:shd w:fill="FFF8F6" w:val="clear"/>
            <w:tcMar>
              <w:top w:type="dxa" w:w="80"/>
              <w:left w:type="dxa" w:w="120"/>
              <w:bottom w:type="dxa" w:w="80"/>
              <w:right w:type="dxa" w:w="120"/>
            </w:tcMar>
          </w:tcPr>
          <w:p>
            <w:r>
              <w:rPr>
                <w:rFonts w:ascii="Arial" w:cs="Arial" w:eastAsia="Arial" w:hAnsi="Arial"/>
                <w:b w:val="false"/>
                <w:bCs w:val="false"/>
                <w:color w:val="1A1A1A"/>
                <w:sz w:val="20"/>
                <w:szCs w:val="20"/>
              </w:rPr>
              <w:t xml:space="preserve">Milia</w:t>
            </w:r>
          </w:p>
        </w:tc>
        <w:tc>
          <w:tcPr>
            <w:tcW w:type="dxa" w:w="1600"/>
            <w:tcBorders>
              <w:top w:val="single" w:color="CCCCCC" w:sz="1"/>
              <w:left w:val="single" w:color="CCCCCC" w:sz="1"/>
              <w:bottom w:val="single" w:color="CCCCCC" w:sz="1"/>
              <w:right w:val="single" w:color="CCCCCC" w:sz="1"/>
            </w:tcBorders>
            <w:shd w:fill="FFF8F6"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High-res RGB</w:t>
            </w:r>
          </w:p>
        </w:tc>
        <w:tc>
          <w:tcPr>
            <w:tcW w:type="dxa" w:w="1600"/>
            <w:tcBorders>
              <w:top w:val="single" w:color="CCCCCC" w:sz="1"/>
              <w:left w:val="single" w:color="CCCCCC" w:sz="1"/>
              <w:bottom w:val="single" w:color="CCCCCC" w:sz="1"/>
              <w:right w:val="single" w:color="CCCCCC" w:sz="1"/>
            </w:tcBorders>
            <w:shd w:fill="FFF8F6" w:val="clear"/>
            <w:tcMar>
              <w:top w:type="dxa" w:w="80"/>
              <w:left w:type="dxa" w:w="120"/>
              <w:bottom w:type="dxa" w:w="80"/>
              <w:right w:type="dxa" w:w="120"/>
            </w:tcMar>
          </w:tcPr>
          <w:p>
            <w:r>
              <w:rPr>
                <w:rFonts w:ascii="Arial" w:cs="Arial" w:eastAsia="Arial" w:hAnsi="Arial"/>
                <w:b w:val="false"/>
                <w:bCs w:val="false"/>
                <w:color w:val="1A1A1A"/>
                <w:sz w:val="20"/>
                <w:szCs w:val="20"/>
              </w:rPr>
              <w:t xml:space="preserve">Depth micro-relief</w:t>
            </w:r>
          </w:p>
        </w:tc>
        <w:tc>
          <w:tcPr>
            <w:tcW w:type="dxa" w:w="1360"/>
            <w:tcBorders>
              <w:top w:val="single" w:color="CCCCCC" w:sz="1"/>
              <w:left w:val="single" w:color="CCCCCC" w:sz="1"/>
              <w:bottom w:val="single" w:color="CCCCCC" w:sz="1"/>
              <w:right w:val="single" w:color="CCCCCC" w:sz="1"/>
            </w:tcBorders>
            <w:shd w:fill="FFF8F6"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2600"/>
            <w:tcBorders>
              <w:top w:val="single" w:color="CCCCCC" w:sz="1"/>
              <w:left w:val="single" w:color="CCCCCC" w:sz="1"/>
              <w:bottom w:val="single" w:color="CCCCCC" w:sz="1"/>
              <w:right w:val="single" w:color="CCCCCC" w:sz="1"/>
            </w:tcBorders>
            <w:shd w:fill="FFF8F6"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Instance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Wrinkles and fine lines (depth + length)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Depth map (ToF)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Raking-light RGB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Wrinkle grade 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Depth gradient regression</w:t>
            </w:r>
          </w:p>
        </w:tc>
      </w:tr>
      <w:tr>
        <w:tc>
          <w:tcPr>
            <w:tcW w:type="dxa" w:w="2200"/>
            <w:tcBorders>
              <w:top w:val="single" w:color="CCCCCC" w:sz="1"/>
              <w:left w:val="single" w:color="CCCCCC" w:sz="1"/>
              <w:bottom w:val="single" w:color="CCCCCC" w:sz="1"/>
              <w:right w:val="single" w:color="CCCCCC" w:sz="1"/>
            </w:tcBorders>
            <w:shd w:fill="FFF8F6" w:val="clear"/>
            <w:tcMar>
              <w:top w:type="dxa" w:w="80"/>
              <w:left w:type="dxa" w:w="120"/>
              <w:bottom w:type="dxa" w:w="80"/>
              <w:right w:type="dxa" w:w="120"/>
            </w:tcMar>
          </w:tcPr>
          <w:p>
            <w:r>
              <w:rPr>
                <w:rFonts w:ascii="Arial" w:cs="Arial" w:eastAsia="Arial" w:hAnsi="Arial"/>
                <w:b w:val="false"/>
                <w:bCs w:val="false"/>
                <w:color w:val="1A1A1A"/>
                <w:sz w:val="20"/>
                <w:szCs w:val="20"/>
              </w:rPr>
              <w:t xml:space="preserve">Enlarged pores</w:t>
            </w:r>
          </w:p>
        </w:tc>
        <w:tc>
          <w:tcPr>
            <w:tcW w:type="dxa" w:w="1600"/>
            <w:tcBorders>
              <w:top w:val="single" w:color="CCCCCC" w:sz="1"/>
              <w:left w:val="single" w:color="CCCCCC" w:sz="1"/>
              <w:bottom w:val="single" w:color="CCCCCC" w:sz="1"/>
              <w:right w:val="single" w:color="CCCCCC" w:sz="1"/>
            </w:tcBorders>
            <w:shd w:fill="FFF8F6" w:val="clear"/>
            <w:tcMar>
              <w:top w:type="dxa" w:w="80"/>
              <w:left w:type="dxa" w:w="120"/>
              <w:bottom w:type="dxa" w:w="80"/>
              <w:right w:type="dxa" w:w="120"/>
            </w:tcMar>
          </w:tcPr>
          <w:p>
            <w:r>
              <w:rPr>
                <w:rFonts w:ascii="Arial" w:cs="Arial" w:eastAsia="Arial" w:hAnsi="Arial"/>
                <w:b w:val="false"/>
                <w:bCs w:val="false"/>
                <w:color w:val="1A1A1A"/>
                <w:sz w:val="20"/>
                <w:szCs w:val="20"/>
              </w:rPr>
              <w:t xml:space="preserve">4K+ macro RGB</w:t>
            </w:r>
          </w:p>
        </w:tc>
        <w:tc>
          <w:tcPr>
            <w:tcW w:type="dxa" w:w="1600"/>
            <w:tcBorders>
              <w:top w:val="single" w:color="CCCCCC" w:sz="1"/>
              <w:left w:val="single" w:color="CCCCCC" w:sz="1"/>
              <w:bottom w:val="single" w:color="CCCCCC" w:sz="1"/>
              <w:right w:val="single" w:color="CCCCCC" w:sz="1"/>
            </w:tcBorders>
            <w:shd w:fill="FFF8F6" w:val="clear"/>
            <w:tcMar>
              <w:top w:type="dxa" w:w="80"/>
              <w:left w:type="dxa" w:w="120"/>
              <w:bottom w:type="dxa" w:w="80"/>
              <w:right w:type="dxa" w:w="120"/>
            </w:tcMar>
          </w:tcPr>
          <w:p>
            <w:r>
              <w:rPr>
                <w:rFonts w:ascii="Arial" w:cs="Arial" w:eastAsia="Arial" w:hAnsi="Arial"/>
                <w:b w:val="false"/>
                <w:bCs w:val="false"/>
                <w:color w:val="1A1A1A"/>
                <w:sz w:val="20"/>
                <w:szCs w:val="20"/>
              </w:rPr>
              <w:t xml:space="preserve">Depth micro-surface</w:t>
            </w:r>
          </w:p>
        </w:tc>
        <w:tc>
          <w:tcPr>
            <w:tcW w:type="dxa" w:w="1360"/>
            <w:tcBorders>
              <w:top w:val="single" w:color="CCCCCC" w:sz="1"/>
              <w:left w:val="single" w:color="CCCCCC" w:sz="1"/>
              <w:bottom w:val="single" w:color="CCCCCC" w:sz="1"/>
              <w:right w:val="single" w:color="CCCCCC" w:sz="1"/>
            </w:tcBorders>
            <w:shd w:fill="FFF8F6" w:val="clear"/>
            <w:tcMar>
              <w:top w:type="dxa" w:w="80"/>
              <w:left w:type="dxa" w:w="120"/>
              <w:bottom w:type="dxa" w:w="80"/>
              <w:right w:type="dxa" w:w="120"/>
            </w:tcMar>
          </w:tcPr>
          <w:p>
            <w:r>
              <w:rPr>
                <w:rFonts w:ascii="Arial" w:cs="Arial" w:eastAsia="Arial" w:hAnsi="Arial"/>
                <w:b w:val="false"/>
                <w:bCs w:val="false"/>
                <w:color w:val="1A1A1A"/>
                <w:sz w:val="20"/>
                <w:szCs w:val="20"/>
              </w:rPr>
              <w:t xml:space="preserve">Pore density /cm²</w:t>
            </w:r>
          </w:p>
        </w:tc>
        <w:tc>
          <w:tcPr>
            <w:tcW w:type="dxa" w:w="2600"/>
            <w:tcBorders>
              <w:top w:val="single" w:color="CCCCCC" w:sz="1"/>
              <w:left w:val="single" w:color="CCCCCC" w:sz="1"/>
              <w:bottom w:val="single" w:color="CCCCCC" w:sz="1"/>
              <w:right w:val="single" w:color="CCCCCC" w:sz="1"/>
            </w:tcBorders>
            <w:shd w:fill="FFF8F6" w:val="clear"/>
            <w:tcMar>
              <w:top w:type="dxa" w:w="80"/>
              <w:left w:type="dxa" w:w="120"/>
              <w:bottom w:type="dxa" w:w="80"/>
              <w:right w:type="dxa" w:w="120"/>
            </w:tcMar>
          </w:tcPr>
          <w:p>
            <w:r>
              <w:rPr>
                <w:rFonts w:ascii="Arial" w:cs="Arial" w:eastAsia="Arial" w:hAnsi="Arial"/>
                <w:b w:val="false"/>
                <w:bCs w:val="false"/>
                <w:color w:val="1A1A1A"/>
                <w:sz w:val="20"/>
                <w:szCs w:val="20"/>
              </w:rPr>
              <w:t xml:space="preserve">Dense segmentation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Skin texture roughness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Depth surface map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RGB micro-texture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 value (μm)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Surface entropy score</w:t>
            </w:r>
          </w:p>
        </w:tc>
      </w:tr>
      <w:tr>
        <w:tc>
          <w:tcPr>
            <w:tcW w:type="dxa" w:w="2200"/>
            <w:tcBorders>
              <w:top w:val="single" w:color="CCCCCC" w:sz="1"/>
              <w:left w:val="single" w:color="CCCCCC" w:sz="1"/>
              <w:bottom w:val="single" w:color="CCCCCC" w:sz="1"/>
              <w:right w:val="single" w:color="CCCCCC" w:sz="1"/>
            </w:tcBorders>
            <w:shd w:fill="FFFCF0" w:val="clear"/>
            <w:tcMar>
              <w:top w:type="dxa" w:w="80"/>
              <w:left w:type="dxa" w:w="120"/>
              <w:bottom w:type="dxa" w:w="80"/>
              <w:right w:type="dxa" w:w="120"/>
            </w:tcMar>
          </w:tcPr>
          <w:p>
            <w:r>
              <w:rPr>
                <w:rFonts w:ascii="Arial" w:cs="Arial" w:eastAsia="Arial" w:hAnsi="Arial"/>
                <w:b w:val="false"/>
                <w:bCs w:val="false"/>
                <w:color w:val="1A1A1A"/>
                <w:sz w:val="20"/>
                <w:szCs w:val="20"/>
              </w:rPr>
              <w:t xml:space="preserve">Hyperpigmentation / melasma</w:t>
            </w:r>
          </w:p>
        </w:tc>
        <w:tc>
          <w:tcPr>
            <w:tcW w:type="dxa" w:w="1600"/>
            <w:tcBorders>
              <w:top w:val="single" w:color="CCCCCC" w:sz="1"/>
              <w:left w:val="single" w:color="CCCCCC" w:sz="1"/>
              <w:bottom w:val="single" w:color="CCCCCC" w:sz="1"/>
              <w:right w:val="single" w:color="CCCCCC" w:sz="1"/>
            </w:tcBorders>
            <w:shd w:fill="FFFCF0" w:val="clear"/>
            <w:tcMar>
              <w:top w:type="dxa" w:w="80"/>
              <w:left w:type="dxa" w:w="120"/>
              <w:bottom w:type="dxa" w:w="80"/>
              <w:right w:type="dxa" w:w="120"/>
            </w:tcMar>
          </w:tcPr>
          <w:p>
            <w:r>
              <w:rPr>
                <w:rFonts w:ascii="Arial" w:cs="Arial" w:eastAsia="Arial" w:hAnsi="Arial"/>
                <w:b w:val="false"/>
                <w:bCs w:val="false"/>
                <w:color w:val="1A1A1A"/>
                <w:sz w:val="20"/>
                <w:szCs w:val="20"/>
              </w:rPr>
              <w:t xml:space="preserve">Color-calibrated RGB</w:t>
            </w:r>
          </w:p>
        </w:tc>
        <w:tc>
          <w:tcPr>
            <w:tcW w:type="dxa" w:w="1600"/>
            <w:tcBorders>
              <w:top w:val="single" w:color="CCCCCC" w:sz="1"/>
              <w:left w:val="single" w:color="CCCCCC" w:sz="1"/>
              <w:bottom w:val="single" w:color="CCCCCC" w:sz="1"/>
              <w:right w:val="single" w:color="CCCCCC" w:sz="1"/>
            </w:tcBorders>
            <w:shd w:fill="FFFCF0" w:val="clear"/>
            <w:tcMar>
              <w:top w:type="dxa" w:w="80"/>
              <w:left w:type="dxa" w:w="120"/>
              <w:bottom w:type="dxa" w:w="80"/>
              <w:right w:type="dxa" w:w="120"/>
            </w:tcMar>
          </w:tcPr>
          <w:p>
            <w:r>
              <w:rPr>
                <w:rFonts w:ascii="Arial" w:cs="Arial" w:eastAsia="Arial" w:hAnsi="Arial"/>
                <w:b w:val="false"/>
                <w:bCs w:val="false"/>
                <w:color w:val="1A1A1A"/>
                <w:sz w:val="20"/>
                <w:szCs w:val="20"/>
              </w:rPr>
              <w:t xml:space="preserve">NIR subsurface</w:t>
            </w:r>
          </w:p>
        </w:tc>
        <w:tc>
          <w:tcPr>
            <w:tcW w:type="dxa" w:w="1360"/>
            <w:tcBorders>
              <w:top w:val="single" w:color="CCCCCC" w:sz="1"/>
              <w:left w:val="single" w:color="CCCCCC" w:sz="1"/>
              <w:bottom w:val="single" w:color="CCCCCC" w:sz="1"/>
              <w:right w:val="single" w:color="CCCCCC" w:sz="1"/>
            </w:tcBorders>
            <w:shd w:fill="FFFCF0" w:val="clear"/>
            <w:tcMar>
              <w:top w:type="dxa" w:w="80"/>
              <w:left w:type="dxa" w:w="120"/>
              <w:bottom w:type="dxa" w:w="80"/>
              <w:right w:type="dxa" w:w="120"/>
            </w:tcMar>
          </w:tcPr>
          <w:p>
            <w:r>
              <w:rPr>
                <w:rFonts w:ascii="Arial" w:cs="Arial" w:eastAsia="Arial" w:hAnsi="Arial"/>
                <w:b w:val="false"/>
                <w:bCs w:val="false"/>
                <w:color w:val="1A1A1A"/>
                <w:sz w:val="20"/>
                <w:szCs w:val="20"/>
              </w:rPr>
              <w:t xml:space="preserve">MASI score</w:t>
            </w:r>
          </w:p>
        </w:tc>
        <w:tc>
          <w:tcPr>
            <w:tcW w:type="dxa" w:w="2600"/>
            <w:tcBorders>
              <w:top w:val="single" w:color="CCCCCC" w:sz="1"/>
              <w:left w:val="single" w:color="CCCCCC" w:sz="1"/>
              <w:bottom w:val="single" w:color="CCCCCC" w:sz="1"/>
              <w:right w:val="single" w:color="CCCCCC" w:sz="1"/>
            </w:tcBorders>
            <w:shd w:fill="FFFCF0" w:val="clear"/>
            <w:tcMar>
              <w:top w:type="dxa" w:w="80"/>
              <w:left w:type="dxa" w:w="120"/>
              <w:bottom w:type="dxa" w:w="80"/>
              <w:right w:type="dxa" w:w="120"/>
            </w:tcMar>
          </w:tcPr>
          <w:p>
            <w:r>
              <w:rPr>
                <w:rFonts w:ascii="Arial" w:cs="Arial" w:eastAsia="Arial" w:hAnsi="Arial"/>
                <w:b w:val="false"/>
                <w:bCs w:val="false"/>
                <w:color w:val="1A1A1A"/>
                <w:sz w:val="20"/>
                <w:szCs w:val="20"/>
              </w:rPr>
              <w:t xml:space="preserve">Semantic segmentation (SegFormer)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Post-inflammatory hyperpigmentation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Color-calibrated RGB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ITA angle analysis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ΔE LAB units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Color regression + segmentation</w:t>
            </w:r>
          </w:p>
        </w:tc>
      </w:tr>
      <w:tr>
        <w:tc>
          <w:tcPr>
            <w:tcW w:type="dxa" w:w="2200"/>
            <w:tcBorders>
              <w:top w:val="single" w:color="CCCCCC" w:sz="1"/>
              <w:left w:val="single" w:color="CCCCCC" w:sz="1"/>
              <w:bottom w:val="single" w:color="CCCCCC" w:sz="1"/>
              <w:right w:val="single" w:color="CCCCCC" w:sz="1"/>
            </w:tcBorders>
            <w:shd w:fill="FFFCF0" w:val="clear"/>
            <w:tcMar>
              <w:top w:type="dxa" w:w="80"/>
              <w:left w:type="dxa" w:w="120"/>
              <w:bottom w:type="dxa" w:w="80"/>
              <w:right w:type="dxa" w:w="120"/>
            </w:tcMar>
          </w:tcPr>
          <w:p>
            <w:r>
              <w:rPr>
                <w:rFonts w:ascii="Arial" w:cs="Arial" w:eastAsia="Arial" w:hAnsi="Arial"/>
                <w:b w:val="false"/>
                <w:bCs w:val="false"/>
                <w:color w:val="1A1A1A"/>
                <w:sz w:val="20"/>
                <w:szCs w:val="20"/>
              </w:rPr>
              <w:t xml:space="preserve">Periorbital dark circles</w:t>
            </w:r>
          </w:p>
        </w:tc>
        <w:tc>
          <w:tcPr>
            <w:tcW w:type="dxa" w:w="1600"/>
            <w:tcBorders>
              <w:top w:val="single" w:color="CCCCCC" w:sz="1"/>
              <w:left w:val="single" w:color="CCCCCC" w:sz="1"/>
              <w:bottom w:val="single" w:color="CCCCCC" w:sz="1"/>
              <w:right w:val="single" w:color="CCCCCC" w:sz="1"/>
            </w:tcBorders>
            <w:shd w:fill="FFFCF0" w:val="clear"/>
            <w:tcMar>
              <w:top w:type="dxa" w:w="80"/>
              <w:left w:type="dxa" w:w="120"/>
              <w:bottom w:type="dxa" w:w="80"/>
              <w:right w:type="dxa" w:w="120"/>
            </w:tcMar>
          </w:tcPr>
          <w:p>
            <w:r>
              <w:rPr>
                <w:rFonts w:ascii="Arial" w:cs="Arial" w:eastAsia="Arial" w:hAnsi="Arial"/>
                <w:b w:val="false"/>
                <w:bCs w:val="false"/>
                <w:color w:val="1A1A1A"/>
                <w:sz w:val="20"/>
                <w:szCs w:val="20"/>
              </w:rPr>
              <w:t xml:space="preserve">RGB + local depth</w:t>
            </w:r>
          </w:p>
        </w:tc>
        <w:tc>
          <w:tcPr>
            <w:tcW w:type="dxa" w:w="1600"/>
            <w:tcBorders>
              <w:top w:val="single" w:color="CCCCCC" w:sz="1"/>
              <w:left w:val="single" w:color="CCCCCC" w:sz="1"/>
              <w:bottom w:val="single" w:color="CCCCCC" w:sz="1"/>
              <w:right w:val="single" w:color="CCCCCC" w:sz="1"/>
            </w:tcBorders>
            <w:shd w:fill="FFFCF0" w:val="clear"/>
            <w:tcMar>
              <w:top w:type="dxa" w:w="80"/>
              <w:left w:type="dxa" w:w="120"/>
              <w:bottom w:type="dxa" w:w="80"/>
              <w:right w:type="dxa" w:w="120"/>
            </w:tcMar>
          </w:tcPr>
          <w:p>
            <w:r>
              <w:rPr>
                <w:rFonts w:ascii="Arial" w:cs="Arial" w:eastAsia="Arial" w:hAnsi="Arial"/>
                <w:b w:val="false"/>
                <w:bCs w:val="false"/>
                <w:color w:val="1A1A1A"/>
                <w:sz w:val="20"/>
                <w:szCs w:val="20"/>
              </w:rPr>
              <w:t xml:space="preserve">Subsurface NIR</w:t>
            </w:r>
          </w:p>
        </w:tc>
        <w:tc>
          <w:tcPr>
            <w:tcW w:type="dxa" w:w="1360"/>
            <w:tcBorders>
              <w:top w:val="single" w:color="CCCCCC" w:sz="1"/>
              <w:left w:val="single" w:color="CCCCCC" w:sz="1"/>
              <w:bottom w:val="single" w:color="CCCCCC" w:sz="1"/>
              <w:right w:val="single" w:color="CCCCCC" w:sz="1"/>
            </w:tcBorders>
            <w:shd w:fill="FFFCF0" w:val="clear"/>
            <w:tcMar>
              <w:top w:type="dxa" w:w="80"/>
              <w:left w:type="dxa" w:w="120"/>
              <w:bottom w:type="dxa" w:w="80"/>
              <w:right w:type="dxa" w:w="120"/>
            </w:tcMar>
          </w:tcPr>
          <w:p>
            <w:r>
              <w:rPr>
                <w:rFonts w:ascii="Arial" w:cs="Arial" w:eastAsia="Arial" w:hAnsi="Arial"/>
                <w:b w:val="false"/>
                <w:bCs w:val="false"/>
                <w:color w:val="1A1A1A"/>
                <w:sz w:val="20"/>
                <w:szCs w:val="20"/>
              </w:rPr>
              <w:t xml:space="preserve">Grading 0–3</w:t>
            </w:r>
          </w:p>
        </w:tc>
        <w:tc>
          <w:tcPr>
            <w:tcW w:type="dxa" w:w="2600"/>
            <w:tcBorders>
              <w:top w:val="single" w:color="CCCCCC" w:sz="1"/>
              <w:left w:val="single" w:color="CCCCCC" w:sz="1"/>
              <w:bottom w:val="single" w:color="CCCCCC" w:sz="1"/>
              <w:right w:val="single" w:color="CCCCCC" w:sz="1"/>
            </w:tcBorders>
            <w:shd w:fill="FFFCF0"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Region-specific CNN</w:t>
            </w:r>
          </w:p>
        </w:tc>
      </w:tr>
      <w:tr>
        <w:tc>
          <w:tcPr>
            <w:tcW w:type="dxa" w:w="2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Erythema / rosacea</w:t>
            </w:r>
          </w:p>
        </w:tc>
        <w:tc>
          <w:tcPr>
            <w:tcW w:type="dxa" w:w="1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RGB red channel</w:t>
            </w:r>
          </w:p>
        </w:tc>
        <w:tc>
          <w:tcPr>
            <w:tcW w:type="dxa" w:w="1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Cross-polarized light</w:t>
            </w:r>
          </w:p>
        </w:tc>
        <w:tc>
          <w:tcPr>
            <w:tcW w:type="dxa" w:w="1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CEA score</w:t>
            </w:r>
          </w:p>
        </w:tc>
        <w:tc>
          <w:tcPr>
            <w:tcW w:type="dxa" w:w="2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ITA angle + classifier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Telangiectasia (visible vessels)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High-res RGB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Cross-polarized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Vessel density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Thin structure detector</w:t>
            </w:r>
          </w:p>
        </w:tc>
      </w:tr>
      <w:tr>
        <w:tc>
          <w:tcPr>
            <w:tcW w:type="dxa" w:w="2200"/>
            <w:tcBorders>
              <w:top w:val="single" w:color="CCCCCC" w:sz="1"/>
              <w:left w:val="single" w:color="CCCCCC" w:sz="1"/>
              <w:bottom w:val="single" w:color="CCCCCC" w:sz="1"/>
              <w:right w:val="single" w:color="CCCCCC" w:sz="1"/>
            </w:tcBorders>
            <w:shd w:fill="F0FAF7" w:val="clear"/>
            <w:tcMar>
              <w:top w:type="dxa" w:w="80"/>
              <w:left w:type="dxa" w:w="120"/>
              <w:bottom w:type="dxa" w:w="80"/>
              <w:right w:type="dxa" w:w="120"/>
            </w:tcMar>
          </w:tcPr>
          <w:p>
            <w:r>
              <w:rPr>
                <w:rFonts w:ascii="Arial" w:cs="Arial" w:eastAsia="Arial" w:hAnsi="Arial"/>
                <w:b w:val="false"/>
                <w:bCs w:val="false"/>
                <w:color w:val="1A1A1A"/>
                <w:sz w:val="20"/>
                <w:szCs w:val="20"/>
              </w:rPr>
              <w:t xml:space="preserve">Seborrhea / oiliness</w:t>
            </w:r>
          </w:p>
        </w:tc>
        <w:tc>
          <w:tcPr>
            <w:tcW w:type="dxa" w:w="1600"/>
            <w:tcBorders>
              <w:top w:val="single" w:color="CCCCCC" w:sz="1"/>
              <w:left w:val="single" w:color="CCCCCC" w:sz="1"/>
              <w:bottom w:val="single" w:color="CCCCCC" w:sz="1"/>
              <w:right w:val="single" w:color="CCCCCC" w:sz="1"/>
            </w:tcBorders>
            <w:shd w:fill="F0FAF7" w:val="clear"/>
            <w:tcMar>
              <w:top w:type="dxa" w:w="80"/>
              <w:left w:type="dxa" w:w="120"/>
              <w:bottom w:type="dxa" w:w="80"/>
              <w:right w:type="dxa" w:w="120"/>
            </w:tcMar>
          </w:tcPr>
          <w:p>
            <w:r>
              <w:rPr>
                <w:rFonts w:ascii="Arial" w:cs="Arial" w:eastAsia="Arial" w:hAnsi="Arial"/>
                <w:b w:val="false"/>
                <w:bCs w:val="false"/>
                <w:color w:val="1A1A1A"/>
                <w:sz w:val="20"/>
                <w:szCs w:val="20"/>
              </w:rPr>
              <w:t xml:space="preserve">Specular RGB analysis</w:t>
            </w:r>
          </w:p>
        </w:tc>
        <w:tc>
          <w:tcPr>
            <w:tcW w:type="dxa" w:w="1600"/>
            <w:tcBorders>
              <w:top w:val="single" w:color="CCCCCC" w:sz="1"/>
              <w:left w:val="single" w:color="CCCCCC" w:sz="1"/>
              <w:bottom w:val="single" w:color="CCCCCC" w:sz="1"/>
              <w:right w:val="single" w:color="CCCCCC" w:sz="1"/>
            </w:tcBorders>
            <w:shd w:fill="F0FAF7" w:val="clear"/>
            <w:tcMar>
              <w:top w:type="dxa" w:w="80"/>
              <w:left w:type="dxa" w:w="120"/>
              <w:bottom w:type="dxa" w:w="80"/>
              <w:right w:type="dxa" w:w="120"/>
            </w:tcMar>
          </w:tcPr>
          <w:p>
            <w:r>
              <w:rPr>
                <w:rFonts w:ascii="Arial" w:cs="Arial" w:eastAsia="Arial" w:hAnsi="Arial"/>
                <w:b w:val="false"/>
                <w:bCs w:val="false"/>
                <w:color w:val="1A1A1A"/>
                <w:sz w:val="20"/>
                <w:szCs w:val="20"/>
              </w:rPr>
              <w:t xml:space="preserve">Polarized light</w:t>
            </w:r>
          </w:p>
        </w:tc>
        <w:tc>
          <w:tcPr>
            <w:tcW w:type="dxa" w:w="1360"/>
            <w:tcBorders>
              <w:top w:val="single" w:color="CCCCCC" w:sz="1"/>
              <w:left w:val="single" w:color="CCCCCC" w:sz="1"/>
              <w:bottom w:val="single" w:color="CCCCCC" w:sz="1"/>
              <w:right w:val="single" w:color="CCCCCC" w:sz="1"/>
            </w:tcBorders>
            <w:shd w:fill="F0FAF7" w:val="clear"/>
            <w:tcMar>
              <w:top w:type="dxa" w:w="80"/>
              <w:left w:type="dxa" w:w="120"/>
              <w:bottom w:type="dxa" w:w="80"/>
              <w:right w:type="dxa" w:w="120"/>
            </w:tcMar>
          </w:tcPr>
          <w:p>
            <w:r>
              <w:rPr>
                <w:rFonts w:ascii="Arial" w:cs="Arial" w:eastAsia="Arial" w:hAnsi="Arial"/>
                <w:b w:val="false"/>
                <w:bCs w:val="false"/>
                <w:color w:val="1A1A1A"/>
                <w:sz w:val="20"/>
                <w:szCs w:val="20"/>
              </w:rPr>
              <w:t xml:space="preserve">Gloss score</w:t>
            </w:r>
          </w:p>
        </w:tc>
        <w:tc>
          <w:tcPr>
            <w:tcW w:type="dxa" w:w="2600"/>
            <w:tcBorders>
              <w:top w:val="single" w:color="CCCCCC" w:sz="1"/>
              <w:left w:val="single" w:color="CCCCCC" w:sz="1"/>
              <w:bottom w:val="single" w:color="CCCCCC" w:sz="1"/>
              <w:right w:val="single" w:color="CCCCCC" w:sz="1"/>
            </w:tcBorders>
            <w:shd w:fill="F0FAF7" w:val="clear"/>
            <w:tcMar>
              <w:top w:type="dxa" w:w="80"/>
              <w:left w:type="dxa" w:w="120"/>
              <w:bottom w:type="dxa" w:w="80"/>
              <w:right w:type="dxa" w:w="120"/>
            </w:tcMar>
          </w:tcPr>
          <w:p>
            <w:r>
              <w:rPr>
                <w:rFonts w:ascii="Arial" w:cs="Arial" w:eastAsia="Arial" w:hAnsi="Arial"/>
                <w:b w:val="false"/>
                <w:bCs w:val="false"/>
                <w:color w:val="1A1A1A"/>
                <w:sz w:val="20"/>
                <w:szCs w:val="20"/>
              </w:rPr>
              <w:t xml:space="preserve">Gloss map regression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Xerosis / dehydration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Micro-texture RGB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NIR reflectance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Hydration index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Texture entropy scorer</w:t>
            </w:r>
          </w:p>
        </w:tc>
      </w:tr>
    </w:tbl>
    <w:p>
      <w:pPr>
        <w:spacing w:after="0" w:before="240"/>
      </w:pPr>
    </w:p>
    <w:p>
      <w:pPr>
        <w:pStyle w:val="Heading2"/>
        <w:spacing w:after="120" w:before="280"/>
      </w:pPr>
      <w:r>
        <w:rPr>
          <w:rFonts w:ascii="Arial" w:cs="Arial" w:eastAsia="Arial" w:hAnsi="Arial"/>
          <w:b/>
          <w:bCs/>
          <w:color w:val="0F6E56"/>
          <w:sz w:val="28"/>
          <w:szCs w:val="28"/>
        </w:rPr>
        <w:t xml:space="preserve">5.2  Note on cross-polarized light imaging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0"/>
            </w:pPr>
            <w:r>
              <w:rPr>
                <w:rFonts w:ascii="Arial" w:cs="Arial" w:eastAsia="Arial" w:hAnsi="Arial"/>
                <w:b/>
                <w:bCs/>
                <w:color w:val="0F6E56"/>
                <w:sz w:val="22"/>
                <w:szCs w:val="22"/>
              </w:rPr>
              <w:t xml:space="preserve">Cross-polarized light — clinical significance</w:t>
            </w:r>
          </w:p>
          <w:p>
            <w:pPr>
              <w:spacing w:after="0" w:before="0"/>
              <w:jc w:val="both"/>
            </w:pPr>
            <w:r>
              <w:rPr>
                <w:rFonts w:ascii="Arial" w:cs="Arial" w:eastAsia="Arial" w:hAnsi="Arial"/>
                <w:color w:val="1A1A1A"/>
                <w:sz w:val="21"/>
                <w:szCs w:val="21"/>
              </w:rPr>
              <w:t xml:space="preserve">Standard camera light mixes surface (specular) reflection with subsurface (diffuse) scattering, creating a composite image that conflates oiliness with underlying pigmentation. Cross-polarized photography suppresses specular reflection, isolating subsurface features such as hemoglobin-driven redness, melanin distribution, and sub-surface vascular patterns. The same technique is used in dermatoscopy. On mobile, this is achievable via a clip-on polarizer accessory or computationally approximated through multi-angle capture and polarization decomposition.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after="40" w:before="0"/>
            </w:pPr>
            <w:r>
              <w:rPr>
                <w:rFonts w:ascii="Arial" w:cs="Arial" w:eastAsia="Arial" w:hAnsi="Arial"/>
                <w:color w:val="99AACC"/>
                <w:sz w:val="18"/>
                <w:szCs w:val="18"/>
              </w:rPr>
              <w:t xml:space="preserve">SECTION 06  </w:t>
            </w:r>
            <w:r>
              <w:rPr>
                <w:rFonts w:ascii="Arial" w:cs="Arial" w:eastAsia="Arial" w:hAnsi="Arial"/>
                <w:b/>
                <w:bCs/>
                <w:color w:val="FFFFFF"/>
                <w:sz w:val="26"/>
                <w:szCs w:val="26"/>
              </w:rPr>
              <w:t xml:space="preserve">AI ANALYSIS ENGINE</w:t>
            </w:r>
          </w:p>
          <w:p>
            <w:pPr>
              <w:spacing w:after="0" w:before="0"/>
            </w:pPr>
            <w:r>
              <w:rPr>
                <w:rFonts w:ascii="Arial" w:cs="Arial" w:eastAsia="Arial" w:hAnsi="Arial"/>
                <w:color w:val="AABBDD"/>
                <w:sz w:val="20"/>
                <w:szCs w:val="20"/>
              </w:rPr>
              <w:t xml:space="preserve">Multi-model ensemble, confidence scoring, and skin-tone calibration</w:t>
            </w:r>
          </w:p>
        </w:tc>
      </w:tr>
    </w:tbl>
    <w:p>
      <w:pPr>
        <w:spacing w:after="0" w:before="160"/>
      </w:pPr>
    </w:p>
    <w:p>
      <w:pPr>
        <w:spacing w:after="80" w:before="80"/>
        <w:jc w:val="both"/>
      </w:pPr>
      <w:r>
        <w:rPr>
          <w:rFonts w:ascii="Arial" w:cs="Arial" w:eastAsia="Arial" w:hAnsi="Arial"/>
          <w:color w:val="1A1A1A"/>
          <w:sz w:val="22"/>
          <w:szCs w:val="22"/>
        </w:rPr>
        <w:t xml:space="preserve">No single AI model delivers sufficient accuracy across the full condition taxonomy. The system uses a multi-model ensemble architecture where specialized models run in parallel, each optimized for a specific class of conditions, and their outputs are reconciled through a confidence-weighted voting mechanism.</w:t>
      </w:r>
    </w:p>
    <w:p>
      <w:pPr>
        <w:spacing w:after="0" w:before="160"/>
      </w:pPr>
    </w:p>
    <w:p>
      <w:pPr>
        <w:pStyle w:val="Heading2"/>
        <w:spacing w:after="120" w:before="280"/>
      </w:pPr>
      <w:r>
        <w:rPr>
          <w:rFonts w:ascii="Arial" w:cs="Arial" w:eastAsia="Arial" w:hAnsi="Arial"/>
          <w:b/>
          <w:bCs/>
          <w:color w:val="0F6E56"/>
          <w:sz w:val="28"/>
          <w:szCs w:val="28"/>
        </w:rPr>
        <w:t xml:space="preserve">6.1  Model ensemble architecture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Architecture</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A1A1A"/>
                <w:sz w:val="20"/>
                <w:szCs w:val="20"/>
              </w:rPr>
              <w:t xml:space="preserve">Segmentation model</w:t>
            </w:r>
          </w:p>
        </w:tc>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1A1A1A"/>
                <w:sz w:val="20"/>
                <w:szCs w:val="20"/>
              </w:rPr>
              <w:t xml:space="preserve">SegFormer-B4 fine-tuned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4096×4096 normalized UV texture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Per-pixel condition label + probability vector over 13 classes</w:t>
            </w:r>
          </w:p>
        </w:tc>
      </w:tr>
      <w:tr>
        <w:tc>
          <w:tcPr>
            <w:tcW w:type="dxa" w:w="1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A1A1A"/>
                <w:sz w:val="20"/>
                <w:szCs w:val="20"/>
              </w:rPr>
              <w:t xml:space="preserve">Lesion detector</w:t>
            </w:r>
          </w:p>
        </w:tc>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1A1A1A"/>
                <w:sz w:val="20"/>
                <w:szCs w:val="20"/>
              </w:rPr>
              <w:t xml:space="preserve">YOLOv8-X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High-res RGB patches per facial zone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Bounding box, lesion class, severity grade, count per class</w:t>
            </w:r>
          </w:p>
        </w:tc>
      </w:tr>
      <w:tr>
        <w:tc>
          <w:tcPr>
            <w:tcW w:type="dxa" w:w="1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A1A1A"/>
                <w:sz w:val="20"/>
                <w:szCs w:val="20"/>
              </w:rPr>
              <w:t xml:space="preserve">Depth analyst</w:t>
            </w:r>
          </w:p>
        </w:tc>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 regression CNN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Per-vertex depth map + UV texture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Wrinkle depth (mm), surface roughness Ra (μm), volumetric indices</w:t>
            </w:r>
          </w:p>
        </w:tc>
      </w:tr>
      <w:tr>
        <w:tc>
          <w:tcPr>
            <w:tcW w:type="dxa" w:w="1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A1A1A"/>
                <w:sz w:val="20"/>
                <w:szCs w:val="20"/>
              </w:rPr>
              <w:t xml:space="preserve">Color / vascular analyst</w:t>
            </w:r>
          </w:p>
        </w:tc>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1A1A1A"/>
                <w:sz w:val="20"/>
                <w:szCs w:val="20"/>
              </w:rPr>
              <w:t xml:space="preserve">ResNet-50 + ITA pipeline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Color-calibrated, normalized UV texture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Erythema index, ITA angle per region, melanin distribution map</w:t>
            </w:r>
          </w:p>
        </w:tc>
      </w:tr>
      <w:tr>
        <w:tc>
          <w:tcPr>
            <w:tcW w:type="dxa" w:w="1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A1A1A"/>
                <w:sz w:val="20"/>
                <w:szCs w:val="20"/>
              </w:rPr>
              <w:t xml:space="preserve">Ensemble voter</w:t>
            </w:r>
          </w:p>
        </w:tc>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1A1A1A"/>
                <w:sz w:val="20"/>
                <w:szCs w:val="20"/>
              </w:rPr>
              <w:t xml:space="preserve">Weighted consensus layer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Outputs of all four models above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Final per-pixel condition annotation with consensus confidence score; flags disagreements between models for uncertainty marking</w:t>
            </w:r>
          </w:p>
        </w:tc>
      </w:tr>
    </w:tbl>
    <w:p>
      <w:pPr>
        <w:spacing w:after="0" w:before="240"/>
      </w:pPr>
    </w:p>
    <w:p>
      <w:pPr>
        <w:pStyle w:val="Heading2"/>
        <w:spacing w:after="120" w:before="280"/>
      </w:pPr>
      <w:r>
        <w:rPr>
          <w:rFonts w:ascii="Arial" w:cs="Arial" w:eastAsia="Arial" w:hAnsi="Arial"/>
          <w:b/>
          <w:bCs/>
          <w:color w:val="0F6E56"/>
          <w:sz w:val="28"/>
          <w:szCs w:val="28"/>
        </w:rPr>
        <w:t xml:space="preserve">6.2  Fitzpatrick skin-type calibration</w:t>
      </w:r>
    </w:p>
    <w:p>
      <w:pPr>
        <w:spacing w:after="80" w:before="80"/>
        <w:jc w:val="both"/>
      </w:pPr>
      <w:r>
        <w:rPr>
          <w:rFonts w:ascii="Arial" w:cs="Arial" w:eastAsia="Arial" w:hAnsi="Arial"/>
          <w:color w:val="1A1A1A"/>
          <w:sz w:val="22"/>
          <w:szCs w:val="22"/>
        </w:rPr>
        <w:t xml:space="preserve">A critical accuracy requirement is that the system performs equitably across all skin tones. Darker skin tones (Fitzpatrick IV–VI) have higher baseline melanin, which affects reflectance in ways that naive models misinterpret as hyperpigmentation, and their erythema may manifest at different wavelength profiles than lighter skin. The system handles this through:</w:t>
      </w:r>
    </w:p>
    <w:p>
      <w:pPr>
        <w:pStyle w:val="ListParagraph"/>
        <w:numPr>
          <w:ilvl w:val="0"/>
          <w:numId w:val="2"/>
        </w:numPr>
        <w:spacing w:after="60" w:before="60"/>
      </w:pPr>
      <w:r>
        <w:rPr>
          <w:rFonts w:ascii="Arial" w:cs="Arial" w:eastAsia="Arial" w:hAnsi="Arial"/>
          <w:color w:val="1A1A1A"/>
          <w:sz w:val="22"/>
          <w:szCs w:val="22"/>
        </w:rPr>
        <w:t xml:space="preserve">Automated Fitzpatrick type estimation from the ITA (Individual Typology Angle) measured on the normalized texture at the first scan session</w:t>
      </w:r>
    </w:p>
    <w:p>
      <w:pPr>
        <w:pStyle w:val="ListParagraph"/>
        <w:numPr>
          <w:ilvl w:val="0"/>
          <w:numId w:val="2"/>
        </w:numPr>
        <w:spacing w:after="60" w:before="60"/>
      </w:pPr>
      <w:r>
        <w:rPr>
          <w:rFonts w:ascii="Arial" w:cs="Arial" w:eastAsia="Arial" w:hAnsi="Arial"/>
          <w:color w:val="1A1A1A"/>
          <w:sz w:val="22"/>
          <w:szCs w:val="22"/>
        </w:rPr>
        <w:t xml:space="preserve">Per-Fitzpatrick-type threshold tables: condition severity thresholds (e.g., the LAB distance that constitutes 'significant pigmentation change') are calibrated per type, not universal</w:t>
      </w:r>
    </w:p>
    <w:p>
      <w:pPr>
        <w:pStyle w:val="ListParagraph"/>
        <w:numPr>
          <w:ilvl w:val="0"/>
          <w:numId w:val="2"/>
        </w:numPr>
        <w:spacing w:after="60" w:before="60"/>
      </w:pPr>
      <w:r>
        <w:rPr>
          <w:rFonts w:ascii="Arial" w:cs="Arial" w:eastAsia="Arial" w:hAnsi="Arial"/>
          <w:color w:val="1A1A1A"/>
          <w:sz w:val="22"/>
          <w:szCs w:val="22"/>
        </w:rPr>
        <w:t xml:space="preserve">Fitzpatrick-stratified training data: all AI models are trained on datasets with balanced Fitzpatrick representation and evaluated on per-stratum performance metrics</w:t>
      </w:r>
    </w:p>
    <w:p>
      <w:pPr>
        <w:pStyle w:val="ListParagraph"/>
        <w:numPr>
          <w:ilvl w:val="0"/>
          <w:numId w:val="2"/>
        </w:numPr>
        <w:spacing w:after="60" w:before="60"/>
      </w:pPr>
      <w:r>
        <w:rPr>
          <w:rFonts w:ascii="Arial" w:cs="Arial" w:eastAsia="Arial" w:hAnsi="Arial"/>
          <w:color w:val="1A1A1A"/>
          <w:sz w:val="22"/>
          <w:szCs w:val="22"/>
        </w:rPr>
        <w:t xml:space="preserve">Manual override: the dermatologist can set or correct the patient's Fitzpatrick type in the clinical interface, which adjusts all thresholds retrospectively</w:t>
      </w:r>
    </w:p>
    <w:p>
      <w:pPr>
        <w:spacing w:after="0" w:before="160"/>
      </w:pPr>
    </w:p>
    <w:p>
      <w:pPr>
        <w:pStyle w:val="Heading2"/>
        <w:spacing w:after="120" w:before="280"/>
      </w:pPr>
      <w:r>
        <w:rPr>
          <w:rFonts w:ascii="Arial" w:cs="Arial" w:eastAsia="Arial" w:hAnsi="Arial"/>
          <w:b/>
          <w:bCs/>
          <w:color w:val="0F6E56"/>
          <w:sz w:val="28"/>
          <w:szCs w:val="28"/>
        </w:rPr>
        <w:t xml:space="preserve">6.3  Confidence scoring and uncertainty quantification</w:t>
      </w:r>
    </w:p>
    <w:p>
      <w:pPr>
        <w:spacing w:after="80" w:before="80"/>
        <w:jc w:val="both"/>
      </w:pPr>
      <w:r>
        <w:rPr>
          <w:rFonts w:ascii="Arial" w:cs="Arial" w:eastAsia="Arial" w:hAnsi="Arial"/>
          <w:color w:val="1A1A1A"/>
          <w:sz w:val="22"/>
          <w:szCs w:val="22"/>
        </w:rPr>
        <w:t xml:space="preserve">Every output value from the AI engine is accompanied by a confidence score and, for scalar measurements, a 95% confidence interval. Uncertainty is quantified using Monte Carlo Dropout: the model is run 30 times with dropout active during inference, and the variance across runs becomes the uncertainty estimate.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40" w:before="0"/>
            </w:pPr>
            <w:r>
              <w:rPr>
                <w:rFonts w:ascii="Arial" w:cs="Arial" w:eastAsia="Arial" w:hAnsi="Arial"/>
                <w:b/>
                <w:bCs/>
                <w:color w:val="7A5C00"/>
                <w:sz w:val="22"/>
                <w:szCs w:val="22"/>
              </w:rPr>
              <w:t xml:space="preserve">Dermatologist review trigger</w:t>
            </w:r>
          </w:p>
          <w:p>
            <w:pPr>
              <w:spacing w:after="0" w:before="0"/>
              <w:jc w:val="both"/>
            </w:pPr>
            <w:r>
              <w:rPr>
                <w:rFonts w:ascii="Arial" w:cs="Arial" w:eastAsia="Arial" w:hAnsi="Arial"/>
                <w:color w:val="1A1A1A"/>
                <w:sz w:val="21"/>
                <w:szCs w:val="21"/>
              </w:rPr>
              <w:t xml:space="preserve">Any facial zone where the ensemble confidence falls below 70%, or where two or more models disagree on condition classification, is automatically flagged for dermatologist review in the report. These zones are visually highlighted in the condition overlay. The system will never present a low-confidence finding as a definitive diagnosis.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after="40" w:before="0"/>
            </w:pPr>
            <w:r>
              <w:rPr>
                <w:rFonts w:ascii="Arial" w:cs="Arial" w:eastAsia="Arial" w:hAnsi="Arial"/>
                <w:color w:val="99AACC"/>
                <w:sz w:val="18"/>
                <w:szCs w:val="18"/>
              </w:rPr>
              <w:t xml:space="preserve">SECTION 07  </w:t>
            </w:r>
            <w:r>
              <w:rPr>
                <w:rFonts w:ascii="Arial" w:cs="Arial" w:eastAsia="Arial" w:hAnsi="Arial"/>
                <w:b/>
                <w:bCs/>
                <w:color w:val="FFFFFF"/>
                <w:sz w:val="26"/>
                <w:szCs w:val="26"/>
              </w:rPr>
              <w:t xml:space="preserve">LONGITUDINAL CHANGE DETECTION</w:t>
            </w:r>
          </w:p>
          <w:p>
            <w:pPr>
              <w:spacing w:after="0" w:before="0"/>
            </w:pPr>
            <w:r>
              <w:rPr>
                <w:rFonts w:ascii="Arial" w:cs="Arial" w:eastAsia="Arial" w:hAnsi="Arial"/>
                <w:color w:val="AABBDD"/>
                <w:sz w:val="20"/>
                <w:szCs w:val="20"/>
              </w:rPr>
              <w:t xml:space="preserve">How the system identifies, confirms, and quantifies skin changes over time</w:t>
            </w:r>
          </w:p>
        </w:tc>
      </w:tr>
    </w:tbl>
    <w:p>
      <w:pPr>
        <w:spacing w:after="0" w:before="160"/>
      </w:pPr>
    </w:p>
    <w:p>
      <w:pPr>
        <w:spacing w:after="80" w:before="80"/>
        <w:jc w:val="both"/>
      </w:pPr>
      <w:r>
        <w:rPr>
          <w:rFonts w:ascii="Arial" w:cs="Arial" w:eastAsia="Arial" w:hAnsi="Arial"/>
          <w:color w:val="1A1A1A"/>
          <w:sz w:val="22"/>
          <w:szCs w:val="22"/>
        </w:rPr>
        <w:t xml:space="preserve">Longitudinal tracking is the highest-value clinical feature of the system. A patient returning at 6 weeks post-treatment should receive an objective, quantified answer to: 'Has this condition improved, worsened, or remained stable — and by how much?' This section describes the complete change detection pipeline.</w:t>
      </w:r>
    </w:p>
    <w:p>
      <w:pPr>
        <w:spacing w:after="0" w:before="160"/>
      </w:pPr>
    </w:p>
    <w:p>
      <w:pPr>
        <w:pStyle w:val="Heading2"/>
        <w:spacing w:after="120" w:before="280"/>
      </w:pPr>
      <w:r>
        <w:rPr>
          <w:rFonts w:ascii="Arial" w:cs="Arial" w:eastAsia="Arial" w:hAnsi="Arial"/>
          <w:b/>
          <w:bCs/>
          <w:color w:val="0F6E56"/>
          <w:sz w:val="28"/>
          <w:szCs w:val="28"/>
        </w:rPr>
        <w:t xml:space="preserve">7.1  Scan alignment</w:t>
      </w:r>
    </w:p>
    <w:p>
      <w:pPr>
        <w:spacing w:after="80" w:before="80"/>
        <w:jc w:val="both"/>
      </w:pPr>
      <w:r>
        <w:rPr>
          <w:rFonts w:ascii="Arial" w:cs="Arial" w:eastAsia="Arial" w:hAnsi="Arial"/>
          <w:color w:val="1A1A1A"/>
          <w:sz w:val="22"/>
          <w:szCs w:val="22"/>
        </w:rPr>
        <w:t xml:space="preserve">Before any comparison is possible, the two 3D meshes must be precisely aligned in a common coordinate system. This is done in two steps:</w:t>
      </w:r>
    </w:p>
    <w:p>
      <w:pPr>
        <w:pStyle w:val="ListParagraph"/>
        <w:numPr>
          <w:ilvl w:val="0"/>
          <w:numId w:val="3"/>
        </w:numPr>
        <w:spacing w:after="60" w:before="60"/>
      </w:pPr>
      <w:r>
        <w:rPr>
          <w:rFonts w:ascii="Arial" w:cs="Arial" w:eastAsia="Arial" w:hAnsi="Arial"/>
          <w:color w:val="1A1A1A"/>
          <w:sz w:val="22"/>
          <w:szCs w:val="22"/>
        </w:rPr>
        <w:t xml:space="preserve">Rigid alignment using facial landmarks (nose tip, bilateral canthi, lip commissures) as anchor points. This corrects for differences in head pose and distance between sessions.</w:t>
      </w:r>
    </w:p>
    <w:p>
      <w:pPr>
        <w:pStyle w:val="ListParagraph"/>
        <w:numPr>
          <w:ilvl w:val="0"/>
          <w:numId w:val="3"/>
        </w:numPr>
        <w:spacing w:after="60" w:before="60"/>
      </w:pPr>
      <w:r>
        <w:rPr>
          <w:rFonts w:ascii="Arial" w:cs="Arial" w:eastAsia="Arial" w:hAnsi="Arial"/>
          <w:color w:val="1A1A1A"/>
          <w:sz w:val="22"/>
          <w:szCs w:val="22"/>
        </w:rPr>
        <w:t xml:space="preserve">Non-rigid registration using the Basel Face Model as a regularizer. This accounts for soft-tissue changes (weight gain, edema, muscle tone) that would cause rigid alignment to produce false positional deltas. Without non-rigid registration, a patient who has lost 2kg between sessions would appear to have significant 'deepening' of nasolabial folds that is actually the result of mesh shape change, not wrinkle progression.</w:t>
      </w:r>
    </w:p>
    <w:p>
      <w:pPr>
        <w:spacing w:after="0" w:before="160"/>
      </w:pPr>
    </w:p>
    <w:p>
      <w:pPr>
        <w:pStyle w:val="Heading2"/>
        <w:spacing w:after="120" w:before="280"/>
      </w:pPr>
      <w:r>
        <w:rPr>
          <w:rFonts w:ascii="Arial" w:cs="Arial" w:eastAsia="Arial" w:hAnsi="Arial"/>
          <w:b/>
          <w:bCs/>
          <w:color w:val="0F6E56"/>
          <w:sz w:val="28"/>
          <w:szCs w:val="28"/>
        </w:rPr>
        <w:t xml:space="preserve">7.2  Delta computation</w:t>
      </w:r>
    </w:p>
    <w:p>
      <w:pPr>
        <w:spacing w:after="80" w:before="80"/>
        <w:jc w:val="both"/>
      </w:pPr>
      <w:r>
        <w:rPr>
          <w:rFonts w:ascii="Arial" w:cs="Arial" w:eastAsia="Arial" w:hAnsi="Arial"/>
          <w:color w:val="1A1A1A"/>
          <w:sz w:val="22"/>
          <w:szCs w:val="22"/>
        </w:rPr>
        <w:t xml:space="preserve">Once the two meshes are aligned, the following deltas are computed per facial region and per UV pixel:</w:t>
      </w:r>
    </w:p>
    <w:p>
      <w:pPr>
        <w:pStyle w:val="ListParagraph"/>
        <w:numPr>
          <w:ilvl w:val="0"/>
          <w:numId w:val="2"/>
        </w:numPr>
        <w:spacing w:after="60" w:before="60"/>
      </w:pPr>
      <w:r>
        <w:rPr>
          <w:rFonts w:ascii="Arial" w:cs="Arial" w:eastAsia="Arial" w:hAnsi="Arial"/>
          <w:color w:val="1A1A1A"/>
          <w:sz w:val="22"/>
          <w:szCs w:val="22"/>
        </w:rPr>
        <w:t xml:space="preserve">Geometric delta: per-vertex 3D displacement (mm), capturing changes in surface topology, depth of structures, and volume</w:t>
      </w:r>
    </w:p>
    <w:p>
      <w:pPr>
        <w:pStyle w:val="ListParagraph"/>
        <w:numPr>
          <w:ilvl w:val="0"/>
          <w:numId w:val="2"/>
        </w:numPr>
        <w:spacing w:after="60" w:before="60"/>
      </w:pPr>
      <w:r>
        <w:rPr>
          <w:rFonts w:ascii="Arial" w:cs="Arial" w:eastAsia="Arial" w:hAnsi="Arial"/>
          <w:color w:val="1A1A1A"/>
          <w:sz w:val="22"/>
          <w:szCs w:val="22"/>
        </w:rPr>
        <w:t xml:space="preserve">Color delta: ΔE (CIEDE2000) per UV pixel — a perceptually uniform color difference metric that correctly weights changes in lightness, chroma, and hue. This is preferred over RGB difference, which is not perceptually uniform and behaves differently across skin tones.</w:t>
      </w:r>
    </w:p>
    <w:p>
      <w:pPr>
        <w:pStyle w:val="ListParagraph"/>
        <w:numPr>
          <w:ilvl w:val="0"/>
          <w:numId w:val="2"/>
        </w:numPr>
        <w:spacing w:after="60" w:before="60"/>
      </w:pPr>
      <w:r>
        <w:rPr>
          <w:rFonts w:ascii="Arial" w:cs="Arial" w:eastAsia="Arial" w:hAnsi="Arial"/>
          <w:color w:val="1A1A1A"/>
          <w:sz w:val="22"/>
          <w:szCs w:val="22"/>
        </w:rPr>
        <w:t xml:space="preserve">Condition score delta: change in per-pixel condition probability from the AI model ensemble</w:t>
      </w:r>
    </w:p>
    <w:p>
      <w:pPr>
        <w:pStyle w:val="ListParagraph"/>
        <w:numPr>
          <w:ilvl w:val="0"/>
          <w:numId w:val="2"/>
        </w:numPr>
        <w:spacing w:after="60" w:before="60"/>
      </w:pPr>
      <w:r>
        <w:rPr>
          <w:rFonts w:ascii="Arial" w:cs="Arial" w:eastAsia="Arial" w:hAnsi="Arial"/>
          <w:color w:val="1A1A1A"/>
          <w:sz w:val="22"/>
          <w:szCs w:val="22"/>
        </w:rPr>
        <w:t xml:space="preserve">Severity index delta: change in regional severity scores (e.g., IGA grade change, lesion count change, erythema index change)</w:t>
      </w:r>
    </w:p>
    <w:p>
      <w:pPr>
        <w:spacing w:after="0" w:before="160"/>
      </w:pPr>
    </w:p>
    <w:p>
      <w:pPr>
        <w:pStyle w:val="Heading2"/>
        <w:spacing w:after="120" w:before="280"/>
      </w:pPr>
      <w:r>
        <w:rPr>
          <w:rFonts w:ascii="Arial" w:cs="Arial" w:eastAsia="Arial" w:hAnsi="Arial"/>
          <w:b/>
          <w:bCs/>
          <w:color w:val="0F6E56"/>
          <w:sz w:val="28"/>
          <w:szCs w:val="28"/>
        </w:rPr>
        <w:t xml:space="preserve">7.3  Triple-filter change confirmation</w:t>
      </w:r>
    </w:p>
    <w:p>
      <w:pPr>
        <w:spacing w:after="80" w:before="80"/>
        <w:jc w:val="both"/>
      </w:pPr>
      <w:r>
        <w:rPr>
          <w:rFonts w:ascii="Arial" w:cs="Arial" w:eastAsia="Arial" w:hAnsi="Arial"/>
          <w:color w:val="1A1A1A"/>
          <w:sz w:val="22"/>
          <w:szCs w:val="22"/>
        </w:rPr>
        <w:t xml:space="preserve">A naive delta computation will produce hundreds of apparent 'changes' per scan due to measurement noise, residual lighting variation, and alignment imprecision. The system requires that every reported change event pass three sequential filters before being included in the clinical report: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Filter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1A1A1A"/>
                <w:sz w:val="20"/>
                <w:szCs w:val="20"/>
              </w:rPr>
              <w:t xml:space="preserve">Filter 1</w:t>
            </w:r>
          </w:p>
        </w:tc>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1A"/>
                <w:sz w:val="20"/>
                <w:szCs w:val="20"/>
              </w:rPr>
              <w:t xml:space="preserve">Noise floor suppression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system’s noise model is established by scanning the same patient twice in the same session (test-retest). The distribution of deltas from this null comparison defines the noise floor. Only deltas exceeding 2σ above this floor are passed to Filter 2.</w:t>
            </w:r>
          </w:p>
        </w:tc>
      </w:tr>
      <w:tr>
        <w:tc>
          <w:tcPr>
            <w:tcW w:type="dxa" w:w="18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1A1A1A"/>
                <w:sz w:val="20"/>
                <w:szCs w:val="20"/>
              </w:rPr>
              <w:t xml:space="preserve">Filter 2</w:t>
            </w:r>
          </w:p>
        </w:tc>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1A"/>
                <w:sz w:val="20"/>
                <w:szCs w:val="20"/>
              </w:rPr>
              <w:t xml:space="preserve">Spatial coherence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change event must span a minimum contiguous area (e.g., ≥2mm² for pigmentation, ≥0.5mm² for acne). Isolated single-pixel changes are suppressed as noise artifacts. The minimum area threshold is condition-specific.</w:t>
            </w:r>
          </w:p>
        </w:tc>
      </w:tr>
      <w:tr>
        <w:tc>
          <w:tcPr>
            <w:tcW w:type="dxa" w:w="18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1A1A1A"/>
                <w:sz w:val="20"/>
                <w:szCs w:val="20"/>
              </w:rPr>
              <w:t xml:space="preserve">Filter 3</w:t>
            </w:r>
          </w:p>
        </w:tc>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1A"/>
                <w:sz w:val="20"/>
                <w:szCs w:val="20"/>
              </w:rPr>
              <w:t xml:space="preserve">Temporal persistence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 patients with 3 or more scans, a change event is only reported as confirmed if it appears in at least two consecutive scan pairs. A change that appears in Scan 2 vs Scan 1 but not in Scan 3 vs Scan 2 is classified as a measurement artifact and suppressed.</w:t>
            </w:r>
          </w:p>
        </w:tc>
      </w:tr>
    </w:tbl>
    <w:p>
      <w:pPr>
        <w:spacing w:after="0" w:before="240"/>
      </w:pPr>
    </w:p>
    <w:p>
      <w:pPr>
        <w:pStyle w:val="Heading2"/>
        <w:spacing w:after="120" w:before="280"/>
      </w:pPr>
      <w:r>
        <w:rPr>
          <w:rFonts w:ascii="Arial" w:cs="Arial" w:eastAsia="Arial" w:hAnsi="Arial"/>
          <w:b/>
          <w:bCs/>
          <w:color w:val="0F6E56"/>
          <w:sz w:val="28"/>
          <w:szCs w:val="28"/>
        </w:rPr>
        <w:t xml:space="preserve">7.4  Reported change metrics</w:t>
      </w:r>
    </w:p>
    <w:p>
      <w:pPr>
        <w:spacing w:after="80" w:before="80"/>
        <w:jc w:val="both"/>
      </w:pPr>
      <w:r>
        <w:rPr>
          <w:rFonts w:ascii="Arial" w:cs="Arial" w:eastAsia="Arial" w:hAnsi="Arial"/>
          <w:color w:val="1A1A1A"/>
          <w:sz w:val="22"/>
          <w:szCs w:val="22"/>
        </w:rPr>
        <w:t xml:space="preserve">Each confirmed change event in the clinical report contains:</w:t>
      </w:r>
    </w:p>
    <w:p>
      <w:pPr>
        <w:pStyle w:val="ListParagraph"/>
        <w:numPr>
          <w:ilvl w:val="0"/>
          <w:numId w:val="2"/>
        </w:numPr>
        <w:spacing w:after="60" w:before="60"/>
      </w:pPr>
      <w:r>
        <w:rPr>
          <w:rFonts w:ascii="Arial" w:cs="Arial" w:eastAsia="Arial" w:hAnsi="Arial"/>
          <w:color w:val="1A1A1A"/>
          <w:sz w:val="22"/>
          <w:szCs w:val="22"/>
        </w:rPr>
        <w:t xml:space="preserve">Affected region: facial zone name and bounding polygon on the 3D model</w:t>
      </w:r>
    </w:p>
    <w:p>
      <w:pPr>
        <w:pStyle w:val="ListParagraph"/>
        <w:numPr>
          <w:ilvl w:val="0"/>
          <w:numId w:val="2"/>
        </w:numPr>
        <w:spacing w:after="60" w:before="60"/>
      </w:pPr>
      <w:r>
        <w:rPr>
          <w:rFonts w:ascii="Arial" w:cs="Arial" w:eastAsia="Arial" w:hAnsi="Arial"/>
          <w:color w:val="1A1A1A"/>
          <w:sz w:val="22"/>
          <w:szCs w:val="22"/>
        </w:rPr>
        <w:t xml:space="preserve">Change direction: improving, worsening, or stable</w:t>
      </w:r>
    </w:p>
    <w:p>
      <w:pPr>
        <w:pStyle w:val="ListParagraph"/>
        <w:numPr>
          <w:ilvl w:val="0"/>
          <w:numId w:val="2"/>
        </w:numPr>
        <w:spacing w:after="60" w:before="60"/>
      </w:pPr>
      <w:r>
        <w:rPr>
          <w:rFonts w:ascii="Arial" w:cs="Arial" w:eastAsia="Arial" w:hAnsi="Arial"/>
          <w:color w:val="1A1A1A"/>
          <w:sz w:val="22"/>
          <w:szCs w:val="22"/>
        </w:rPr>
        <w:t xml:space="preserve">Area delta: Δmm² of affected surface (± 95% CI)</w:t>
      </w:r>
    </w:p>
    <w:p>
      <w:pPr>
        <w:pStyle w:val="ListParagraph"/>
        <w:numPr>
          <w:ilvl w:val="0"/>
          <w:numId w:val="2"/>
        </w:numPr>
        <w:spacing w:after="60" w:before="60"/>
      </w:pPr>
      <w:r>
        <w:rPr>
          <w:rFonts w:ascii="Arial" w:cs="Arial" w:eastAsia="Arial" w:hAnsi="Arial"/>
          <w:color w:val="1A1A1A"/>
          <w:sz w:val="22"/>
          <w:szCs w:val="22"/>
        </w:rPr>
        <w:t xml:space="preserve">Severity delta: change in condition-specific severity score (± 95% CI)</w:t>
      </w:r>
    </w:p>
    <w:p>
      <w:pPr>
        <w:pStyle w:val="ListParagraph"/>
        <w:numPr>
          <w:ilvl w:val="0"/>
          <w:numId w:val="2"/>
        </w:numPr>
        <w:spacing w:after="60" w:before="60"/>
      </w:pPr>
      <w:r>
        <w:rPr>
          <w:rFonts w:ascii="Arial" w:cs="Arial" w:eastAsia="Arial" w:hAnsi="Arial"/>
          <w:color w:val="1A1A1A"/>
          <w:sz w:val="22"/>
          <w:szCs w:val="22"/>
        </w:rPr>
        <w:t xml:space="preserve">Color delta: ΔE CIEDE2000 (± 95% CI) for pigmentation and vascular conditions</w:t>
      </w:r>
    </w:p>
    <w:p>
      <w:pPr>
        <w:pStyle w:val="ListParagraph"/>
        <w:numPr>
          <w:ilvl w:val="0"/>
          <w:numId w:val="2"/>
        </w:numPr>
        <w:spacing w:after="60" w:before="60"/>
      </w:pPr>
      <w:r>
        <w:rPr>
          <w:rFonts w:ascii="Arial" w:cs="Arial" w:eastAsia="Arial" w:hAnsi="Arial"/>
          <w:color w:val="1A1A1A"/>
          <w:sz w:val="22"/>
          <w:szCs w:val="22"/>
        </w:rPr>
        <w:t xml:space="preserve">Geometric delta: mean Δ vertex displacement in mm (± 95% CI) for morphological conditions</w:t>
      </w:r>
    </w:p>
    <w:p>
      <w:pPr>
        <w:pStyle w:val="ListParagraph"/>
        <w:numPr>
          <w:ilvl w:val="0"/>
          <w:numId w:val="2"/>
        </w:numPr>
        <w:spacing w:after="60" w:before="60"/>
      </w:pPr>
      <w:r>
        <w:rPr>
          <w:rFonts w:ascii="Arial" w:cs="Arial" w:eastAsia="Arial" w:hAnsi="Arial"/>
          <w:color w:val="1A1A1A"/>
          <w:sz w:val="22"/>
          <w:szCs w:val="22"/>
        </w:rPr>
        <w:t xml:space="preserve">Confidence: ensemble model confidence for the affected region at both time points</w:t>
      </w:r>
    </w:p>
    <w:p>
      <w:pPr>
        <w:pStyle w:val="ListParagraph"/>
        <w:numPr>
          <w:ilvl w:val="0"/>
          <w:numId w:val="2"/>
        </w:numPr>
        <w:spacing w:after="60" w:before="60"/>
      </w:pPr>
      <w:r>
        <w:rPr>
          <w:rFonts w:ascii="Arial" w:cs="Arial" w:eastAsia="Arial" w:hAnsi="Arial"/>
          <w:color w:val="1A1A1A"/>
          <w:sz w:val="22"/>
          <w:szCs w:val="22"/>
        </w:rPr>
        <w:t xml:space="preserve">Trend classification: based on all available scan history, classified as improving / stable / worsening / fluctuating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after="40" w:before="0"/>
            </w:pPr>
            <w:r>
              <w:rPr>
                <w:rFonts w:ascii="Arial" w:cs="Arial" w:eastAsia="Arial" w:hAnsi="Arial"/>
                <w:color w:val="99AACC"/>
                <w:sz w:val="18"/>
                <w:szCs w:val="18"/>
              </w:rPr>
              <w:t xml:space="preserve">SECTION 08  </w:t>
            </w:r>
            <w:r>
              <w:rPr>
                <w:rFonts w:ascii="Arial" w:cs="Arial" w:eastAsia="Arial" w:hAnsi="Arial"/>
                <w:b/>
                <w:bCs/>
                <w:color w:val="FFFFFF"/>
                <w:sz w:val="26"/>
                <w:szCs w:val="26"/>
              </w:rPr>
              <w:t xml:space="preserve">ACCURACY &amp; PRECISION ENGINEERING</w:t>
            </w:r>
          </w:p>
          <w:p>
            <w:pPr>
              <w:spacing w:after="0" w:before="0"/>
            </w:pPr>
            <w:r>
              <w:rPr>
                <w:rFonts w:ascii="Arial" w:cs="Arial" w:eastAsia="Arial" w:hAnsi="Arial"/>
                <w:color w:val="AABBDD"/>
                <w:sz w:val="20"/>
                <w:szCs w:val="20"/>
              </w:rPr>
              <w:t xml:space="preserve">The non-negotiable factors that determine system reliability</w:t>
            </w:r>
          </w:p>
        </w:tc>
      </w:tr>
    </w:tbl>
    <w:p>
      <w:pPr>
        <w:spacing w:after="0" w:before="160"/>
      </w:pPr>
    </w:p>
    <w:p>
      <w:pPr>
        <w:spacing w:after="80" w:before="80"/>
        <w:jc w:val="both"/>
      </w:pPr>
      <w:r>
        <w:rPr>
          <w:rFonts w:ascii="Arial" w:cs="Arial" w:eastAsia="Arial" w:hAnsi="Arial"/>
          <w:color w:val="1A1A1A"/>
          <w:sz w:val="22"/>
          <w:szCs w:val="22"/>
        </w:rPr>
        <w:t xml:space="preserve">Clinical trust in the system depends entirely on its accuracy and precision. This section documents the eight key engineering decisions that make the system reliable enough for clinical decision support. Each one addresses a specific failure mode that would otherwise produce clinically misleading results.</w:t>
      </w:r>
    </w:p>
    <w:p>
      <w:pPr>
        <w:spacing w:after="0" w:before="160"/>
      </w:pPr>
    </w:p>
    <w:p>
      <w:pPr>
        <w:pStyle w:val="Heading2"/>
        <w:spacing w:after="120" w:before="280"/>
      </w:pPr>
      <w:r>
        <w:rPr>
          <w:rFonts w:ascii="Arial" w:cs="Arial" w:eastAsia="Arial" w:hAnsi="Arial"/>
          <w:b/>
          <w:bCs/>
          <w:color w:val="0F6E56"/>
          <w:sz w:val="28"/>
          <w:szCs w:val="28"/>
        </w:rPr>
        <w:t xml:space="preserve">8.1  Eight precision requirements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Clinical rationale and implementation</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A1A1A"/>
                <w:sz w:val="20"/>
                <w:szCs w:val="20"/>
              </w:rPr>
              <w:t xml:space="preserve">1. Lighting normalization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same erythematous patch can appear 40% more or less red under warm vs daylight illumination. Retinex-based illumination normalization separates the skin's intrinsic reflectance from the lighting environment, eliminating this as a confounding variable in both single-scan analysis and change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2. Controlled capture UX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5cm difference in capture distance or a 10° difference in head angle will produce false geometric deltas that mimic wrinkle progression. All four quality gates (Section 3.2) must pass before a scan is accepted. This is enforced by the application and cannot be bypassed.</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A1A1A"/>
                <w:sz w:val="20"/>
                <w:szCs w:val="20"/>
              </w:rPr>
              <w:t xml:space="preserve">3. Cross-polarized imaging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Surface specular reflection confounds subsurface pigmentation analysis. Cross-polarization separates surface and subsurface components. Clinically: the difference between measuring oiliness and measuring underlying hyperpigmentation. Implemented via hardware accessory or computational decomposition.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4. Fitzpatrick calibration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Condition severity thresholds must be relative to the patient's baseline melanin level, not absolute color values. Without this, the system will over-diagnose hyperpigmentation in darker skin tones and under-diagnose erythema. Automatic ITA-based estimation with manual dermatologist override.</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A1A1A"/>
                <w:sz w:val="20"/>
                <w:szCs w:val="20"/>
              </w:rPr>
              <w:t xml:space="preserve">5. Multi-model ensemble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single general-purpose model trained across all 13 conditions will have lower accuracy on each individual condition than a specialist model. The system runs four specialist models in parallel and uses confidence-weighted voting to reconcile their outputs. Disagreement between models triggers a low-confidence flag.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6. Confidence intervals on all outputs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Bare AI labels ('acne detected') are clinically inappropriate. Every output includes a confidence score, and scalar measurements include 95% CIs computed via Monte Carlo Dropout. This allows the dermatologist to distinguish high-certainty findings from flagged uncertain ones requiring visual examination.</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A1A1A"/>
                <w:sz w:val="20"/>
                <w:szCs w:val="20"/>
              </w:rPr>
              <w:t xml:space="preserve">7. Triple-filter change confirmation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Without filtering, scan-to-scan noise produces ~200–400 false change events per comparison. The three-filter pipeline (noise floor, spatial coherence, temporal persistence) reduces this to &lt;5% false positive rate for confirmed change events, validated on test-retest datasets.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8. ΔE CIEDE2000 for color comparison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RGB color differences are not perceptually uniform and produce different magnitudes for the same visible change depending on skin tone. CIEDE2000 is the international standard for perceptually uniform color difference measurement and is used in clinical colorimetry. ΔE values are consistent and comparable across all Fitzpatrick types.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after="40" w:before="0"/>
            </w:pPr>
            <w:r>
              <w:rPr>
                <w:rFonts w:ascii="Arial" w:cs="Arial" w:eastAsia="Arial" w:hAnsi="Arial"/>
                <w:color w:val="99AACC"/>
                <w:sz w:val="18"/>
                <w:szCs w:val="18"/>
              </w:rPr>
              <w:t xml:space="preserve">SECTION 09  </w:t>
            </w:r>
            <w:r>
              <w:rPr>
                <w:rFonts w:ascii="Arial" w:cs="Arial" w:eastAsia="Arial" w:hAnsi="Arial"/>
                <w:b/>
                <w:bCs/>
                <w:color w:val="FFFFFF"/>
                <w:sz w:val="26"/>
                <w:szCs w:val="26"/>
              </w:rPr>
              <w:t xml:space="preserve">DATA STORAGE &amp; PRIVACY ARCHITECTURE</w:t>
            </w:r>
          </w:p>
          <w:p>
            <w:pPr>
              <w:spacing w:after="0" w:before="0"/>
            </w:pPr>
            <w:r>
              <w:rPr>
                <w:rFonts w:ascii="Arial" w:cs="Arial" w:eastAsia="Arial" w:hAnsi="Arial"/>
                <w:color w:val="AABBDD"/>
                <w:sz w:val="20"/>
                <w:szCs w:val="20"/>
              </w:rPr>
              <w:t xml:space="preserve">How patient data is stored, protected, and retained</w:t>
            </w:r>
          </w:p>
        </w:tc>
      </w:tr>
    </w:tbl>
    <w:p>
      <w:pPr>
        <w:spacing w:after="0" w:before="160"/>
      </w:pPr>
    </w:p>
    <w:p>
      <w:pPr>
        <w:spacing w:after="80" w:before="80"/>
        <w:jc w:val="both"/>
      </w:pPr>
      <w:r>
        <w:rPr>
          <w:rFonts w:ascii="Arial" w:cs="Arial" w:eastAsia="Arial" w:hAnsi="Arial"/>
          <w:color w:val="1A1A1A"/>
          <w:sz w:val="22"/>
          <w:szCs w:val="22"/>
        </w:rPr>
        <w:t xml:space="preserve">The system handles biometric data that constitutes sensitive health information under GDPR, CCPA, and potentially HIPAA (if used in a medical context). Data architecture is designed around data minimization, encryption-by-default, and strict access control.</w:t>
      </w:r>
    </w:p>
    <w:p>
      <w:pPr>
        <w:spacing w:after="0" w:before="160"/>
      </w:pPr>
    </w:p>
    <w:p>
      <w:pPr>
        <w:pStyle w:val="Heading2"/>
        <w:spacing w:after="120" w:before="280"/>
      </w:pPr>
      <w:r>
        <w:rPr>
          <w:rFonts w:ascii="Arial" w:cs="Arial" w:eastAsia="Arial" w:hAnsi="Arial"/>
          <w:b/>
          <w:bCs/>
          <w:color w:val="0F6E56"/>
          <w:sz w:val="28"/>
          <w:szCs w:val="28"/>
        </w:rPr>
        <w:t xml:space="preserve">9.1  Storage structure per patient</w:t>
      </w:r>
    </w:p>
    <w:p>
      <w:pPr>
        <w:pStyle w:val="ListParagraph"/>
        <w:numPr>
          <w:ilvl w:val="0"/>
          <w:numId w:val="2"/>
        </w:numPr>
        <w:spacing w:after="60" w:before="60"/>
      </w:pPr>
      <w:r>
        <w:rPr>
          <w:rFonts w:ascii="Arial" w:cs="Arial" w:eastAsia="Arial" w:hAnsi="Arial"/>
          <w:color w:val="1A1A1A"/>
          <w:sz w:val="22"/>
          <w:szCs w:val="22"/>
        </w:rPr>
        <w:t xml:space="preserve">Each patient has an isolated data vault partitioned by patient ID. No cross-patient data access is architecturally possible.</w:t>
      </w:r>
    </w:p>
    <w:p>
      <w:pPr>
        <w:pStyle w:val="ListParagraph"/>
        <w:numPr>
          <w:ilvl w:val="0"/>
          <w:numId w:val="2"/>
        </w:numPr>
        <w:spacing w:after="60" w:before="60"/>
      </w:pPr>
      <w:r>
        <w:rPr>
          <w:rFonts w:ascii="Arial" w:cs="Arial" w:eastAsia="Arial" w:hAnsi="Arial"/>
          <w:color w:val="1A1A1A"/>
          <w:sz w:val="22"/>
          <w:szCs w:val="22"/>
        </w:rPr>
        <w:t xml:space="preserve">All data at rest is encrypted with AES-256. Encryption keys are derived per-patient and stored in a hardware security module (HSM), separate from the data store.</w:t>
      </w:r>
    </w:p>
    <w:p>
      <w:pPr>
        <w:pStyle w:val="ListParagraph"/>
        <w:numPr>
          <w:ilvl w:val="0"/>
          <w:numId w:val="2"/>
        </w:numPr>
        <w:spacing w:after="60" w:before="60"/>
      </w:pPr>
      <w:r>
        <w:rPr>
          <w:rFonts w:ascii="Arial" w:cs="Arial" w:eastAsia="Arial" w:hAnsi="Arial"/>
          <w:color w:val="1A1A1A"/>
          <w:sz w:val="22"/>
          <w:szCs w:val="22"/>
        </w:rPr>
        <w:t xml:space="preserve">Scan packages are stored immutably — they cannot be modified after submission. The audit log records all access events.</w:t>
      </w:r>
    </w:p>
    <w:p>
      <w:pPr>
        <w:pStyle w:val="ListParagraph"/>
        <w:numPr>
          <w:ilvl w:val="0"/>
          <w:numId w:val="2"/>
        </w:numPr>
        <w:spacing w:after="60" w:before="60"/>
      </w:pPr>
      <w:r>
        <w:rPr>
          <w:rFonts w:ascii="Arial" w:cs="Arial" w:eastAsia="Arial" w:hAnsi="Arial"/>
          <w:color w:val="1A1A1A"/>
          <w:sz w:val="22"/>
          <w:szCs w:val="22"/>
        </w:rPr>
        <w:t xml:space="preserve">The comparison engine operates on normalized condition data, not on raw facial images, to minimize biometric data exposure during processing.</w:t>
      </w:r>
    </w:p>
    <w:p>
      <w:pPr>
        <w:spacing w:after="0" w:before="160"/>
      </w:pPr>
    </w:p>
    <w:p>
      <w:pPr>
        <w:pStyle w:val="Heading2"/>
        <w:spacing w:after="120" w:before="280"/>
      </w:pPr>
      <w:r>
        <w:rPr>
          <w:rFonts w:ascii="Arial" w:cs="Arial" w:eastAsia="Arial" w:hAnsi="Arial"/>
          <w:b/>
          <w:bCs/>
          <w:color w:val="0F6E56"/>
          <w:sz w:val="28"/>
          <w:szCs w:val="28"/>
        </w:rPr>
        <w:t xml:space="preserve">9.2  Data categories and retention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Storage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Retention default</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Dermatologist access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3D mesh (.obj)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Encrypted object 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Duration of clinical relationship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access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UV texture atlas (.png)</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Encrypted object store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Duration of clinical relationship</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access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Condition annotation (conditions.json)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Encrypted structured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Duration of clinical relationship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access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Change reports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Encrypted structured DB</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Duration of clinical relationship</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access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Capture metadata (device, time, quality)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Encrypted structured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 years (clinical standard)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Read-only</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Raw depth frames (pre-reconstruction)</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Temporary processing store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Deleted after reconstruction</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r>
    </w:tbl>
    <w:p>
      <w:pPr>
        <w:spacing w:after="0" w:before="240"/>
      </w:pPr>
    </w:p>
    <w:p>
      <w:pPr>
        <w:pStyle w:val="Heading2"/>
        <w:spacing w:after="120" w:before="280"/>
      </w:pPr>
      <w:r>
        <w:rPr>
          <w:rFonts w:ascii="Arial" w:cs="Arial" w:eastAsia="Arial" w:hAnsi="Arial"/>
          <w:b/>
          <w:bCs/>
          <w:color w:val="0F6E56"/>
          <w:sz w:val="28"/>
          <w:szCs w:val="28"/>
        </w:rPr>
        <w:t xml:space="preserve">9.3  On-device data minimization</w:t>
      </w:r>
    </w:p>
    <w:p>
      <w:pPr>
        <w:spacing w:after="80" w:before="80"/>
        <w:jc w:val="both"/>
      </w:pPr>
      <w:r>
        <w:rPr>
          <w:rFonts w:ascii="Arial" w:cs="Arial" w:eastAsia="Arial" w:hAnsi="Arial"/>
          <w:color w:val="1A1A1A"/>
          <w:sz w:val="22"/>
          <w:szCs w:val="22"/>
        </w:rPr>
        <w:t xml:space="preserve">The mobile application performs maximum feasible processing on-device before transmission. On-device steps include: face detection, quality gating, landmark extraction, frame selection, and initial depth-RGB registration. Only the selected high-quality frames are transmitted — not all 60 captured frames. This reduces biometric data transmission by approximately 67%.</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after="40" w:before="0"/>
            </w:pPr>
            <w:r>
              <w:rPr>
                <w:rFonts w:ascii="Arial" w:cs="Arial" w:eastAsia="Arial" w:hAnsi="Arial"/>
                <w:color w:val="99AACC"/>
                <w:sz w:val="18"/>
                <w:szCs w:val="18"/>
              </w:rPr>
              <w:t xml:space="preserve">SECTION 10  </w:t>
            </w:r>
            <w:r>
              <w:rPr>
                <w:rFonts w:ascii="Arial" w:cs="Arial" w:eastAsia="Arial" w:hAnsi="Arial"/>
                <w:b/>
                <w:bCs/>
                <w:color w:val="FFFFFF"/>
                <w:sz w:val="26"/>
                <w:szCs w:val="26"/>
              </w:rPr>
              <w:t xml:space="preserve">CLINICAL CONSIDERATIONS &amp; WORKFLOW INTEGRATION</w:t>
            </w:r>
          </w:p>
          <w:p>
            <w:pPr>
              <w:spacing w:after="0" w:before="0"/>
            </w:pPr>
            <w:r>
              <w:rPr>
                <w:rFonts w:ascii="Arial" w:cs="Arial" w:eastAsia="Arial" w:hAnsi="Arial"/>
                <w:color w:val="AABBDD"/>
                <w:sz w:val="20"/>
                <w:szCs w:val="20"/>
              </w:rPr>
              <w:t xml:space="preserve">How dermatologists interact with the system in practice</w:t>
            </w:r>
          </w:p>
        </w:tc>
      </w:tr>
    </w:tbl>
    <w:p>
      <w:pPr>
        <w:spacing w:after="0" w:before="160"/>
      </w:pPr>
    </w:p>
    <w:p>
      <w:pPr>
        <w:pStyle w:val="Heading2"/>
        <w:spacing w:after="120" w:before="280"/>
      </w:pPr>
      <w:r>
        <w:rPr>
          <w:rFonts w:ascii="Arial" w:cs="Arial" w:eastAsia="Arial" w:hAnsi="Arial"/>
          <w:b/>
          <w:bCs/>
          <w:color w:val="0F6E56"/>
          <w:sz w:val="28"/>
          <w:szCs w:val="28"/>
        </w:rPr>
        <w:t xml:space="preserve">10.1  Intended clinical workflow</w:t>
      </w:r>
    </w:p>
    <w:p>
      <w:pPr>
        <w:pStyle w:val="ListParagraph"/>
        <w:numPr>
          <w:ilvl w:val="0"/>
          <w:numId w:val="3"/>
        </w:numPr>
        <w:spacing w:after="60" w:before="60"/>
      </w:pPr>
      <w:r>
        <w:rPr>
          <w:rFonts w:ascii="Arial" w:cs="Arial" w:eastAsia="Arial" w:hAnsi="Arial"/>
          <w:color w:val="1A1A1A"/>
          <w:sz w:val="22"/>
          <w:szCs w:val="22"/>
        </w:rPr>
        <w:t xml:space="preserve">First visit: Patient performs guided scan in clinic or at home. System generates baseline 3D model with full condition annotation. Dermatologist reviews the annotated 3D model, confirms Fitzpatrick type, and sets condition monitoring priorities.</w:t>
      </w:r>
    </w:p>
    <w:p>
      <w:pPr>
        <w:pStyle w:val="ListParagraph"/>
        <w:numPr>
          <w:ilvl w:val="0"/>
          <w:numId w:val="3"/>
        </w:numPr>
        <w:spacing w:after="60" w:before="60"/>
      </w:pPr>
      <w:r>
        <w:rPr>
          <w:rFonts w:ascii="Arial" w:cs="Arial" w:eastAsia="Arial" w:hAnsi="Arial"/>
          <w:color w:val="1A1A1A"/>
          <w:sz w:val="22"/>
          <w:szCs w:val="22"/>
        </w:rPr>
        <w:t xml:space="preserve">Between visits: Patient performs follow-up scans at prescribed intervals (e.g., every 2 weeks during treatment). System processes each scan and computes change report against the baseline.</w:t>
      </w:r>
    </w:p>
    <w:p>
      <w:pPr>
        <w:pStyle w:val="ListParagraph"/>
        <w:numPr>
          <w:ilvl w:val="0"/>
          <w:numId w:val="3"/>
        </w:numPr>
        <w:spacing w:after="60" w:before="60"/>
      </w:pPr>
      <w:r>
        <w:rPr>
          <w:rFonts w:ascii="Arial" w:cs="Arial" w:eastAsia="Arial" w:hAnsi="Arial"/>
          <w:color w:val="1A1A1A"/>
          <w:sz w:val="22"/>
          <w:szCs w:val="22"/>
        </w:rPr>
        <w:t xml:space="preserve">At follow-up visit: Dermatologist reviews change reports showing confirmed condition changes with quantified severity deltas. High-severity flags or rapidly-changing regions are surfaced for priority review. Treatment efficacy can be assessed against objective measurements rather than subjective recall.</w:t>
      </w:r>
    </w:p>
    <w:p>
      <w:pPr>
        <w:pStyle w:val="ListParagraph"/>
        <w:numPr>
          <w:ilvl w:val="0"/>
          <w:numId w:val="3"/>
        </w:numPr>
        <w:spacing w:after="60" w:before="60"/>
      </w:pPr>
      <w:r>
        <w:rPr>
          <w:rFonts w:ascii="Arial" w:cs="Arial" w:eastAsia="Arial" w:hAnsi="Arial"/>
          <w:color w:val="1A1A1A"/>
          <w:sz w:val="22"/>
          <w:szCs w:val="22"/>
        </w:rPr>
        <w:t xml:space="preserve">Long-term monitoring: The full scan history enables trend analysis — distinguishing treatment response from natural disease progression, identifying seasonal patterns, and detecting treatment plateau.</w:t>
      </w:r>
    </w:p>
    <w:p>
      <w:pPr>
        <w:spacing w:after="0" w:before="160"/>
      </w:pPr>
    </w:p>
    <w:p>
      <w:pPr>
        <w:pStyle w:val="Heading2"/>
        <w:spacing w:after="120" w:before="280"/>
      </w:pPr>
      <w:r>
        <w:rPr>
          <w:rFonts w:ascii="Arial" w:cs="Arial" w:eastAsia="Arial" w:hAnsi="Arial"/>
          <w:b/>
          <w:bCs/>
          <w:color w:val="0F6E56"/>
          <w:sz w:val="28"/>
          <w:szCs w:val="28"/>
        </w:rPr>
        <w:t xml:space="preserve">10.2  Limitations and contraindications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after="40" w:before="0"/>
            </w:pPr>
            <w:r>
              <w:rPr>
                <w:rFonts w:ascii="Arial" w:cs="Arial" w:eastAsia="Arial" w:hAnsi="Arial"/>
                <w:b/>
                <w:bCs/>
                <w:color w:val="993C1D"/>
                <w:sz w:val="22"/>
                <w:szCs w:val="22"/>
              </w:rPr>
              <w:t xml:space="preserve">System limitations — must be communicated to patients</w:t>
            </w:r>
          </w:p>
          <w:p>
            <w:pPr>
              <w:spacing w:after="0" w:before="0"/>
              <w:jc w:val="both"/>
            </w:pPr>
            <w:r>
              <w:rPr>
                <w:rFonts w:ascii="Arial" w:cs="Arial" w:eastAsia="Arial" w:hAnsi="Arial"/>
                <w:color w:val="1A1A1A"/>
                <w:sz w:val="21"/>
                <w:szCs w:val="21"/>
              </w:rPr>
              <w:t xml:space="preserve">This system detects surface and near-surface skin features visible to a mobile camera sensor. It does NOT assess subsurface lesions, dermoscopic features, lesion asymmetry for malignancy assessment, or conditions requiring tactile examination (e.g., induration, scale texture). It is not validated for skin cancer screening or diagnosis. Any lesion that raises clinical suspicion should be assessed by in-person examination and dermoscopy, regardless of AI output.</w:t>
            </w:r>
          </w:p>
        </w:tc>
      </w:tr>
    </w:tbl>
    <w:p>
      <w:pPr>
        <w:spacing w:after="0" w:before="160"/>
      </w:pPr>
    </w:p>
    <w:p>
      <w:pPr>
        <w:pStyle w:val="ListParagraph"/>
        <w:numPr>
          <w:ilvl w:val="0"/>
          <w:numId w:val="2"/>
        </w:numPr>
        <w:spacing w:after="60" w:before="60"/>
      </w:pPr>
      <w:r>
        <w:rPr>
          <w:rFonts w:ascii="Arial" w:cs="Arial" w:eastAsia="Arial" w:hAnsi="Arial"/>
          <w:color w:val="1A1A1A"/>
          <w:sz w:val="22"/>
          <w:szCs w:val="22"/>
        </w:rPr>
        <w:t xml:space="preserve">Conditions with very fine spatial scale (e.g., individual telangiectatic vessels &lt;0.1mm) may not be reliably detectable at standard mobile camera resolution</w:t>
      </w:r>
    </w:p>
    <w:p>
      <w:pPr>
        <w:pStyle w:val="ListParagraph"/>
        <w:numPr>
          <w:ilvl w:val="0"/>
          <w:numId w:val="2"/>
        </w:numPr>
        <w:spacing w:after="60" w:before="60"/>
      </w:pPr>
      <w:r>
        <w:rPr>
          <w:rFonts w:ascii="Arial" w:cs="Arial" w:eastAsia="Arial" w:hAnsi="Arial"/>
          <w:color w:val="1A1A1A"/>
          <w:sz w:val="22"/>
          <w:szCs w:val="22"/>
        </w:rPr>
        <w:t xml:space="preserve">Patients with dense facial hair or full beards will have partial facial coverage in the scan; affected regions are excluded from analysis and flagged</w:t>
      </w:r>
    </w:p>
    <w:p>
      <w:pPr>
        <w:pStyle w:val="ListParagraph"/>
        <w:numPr>
          <w:ilvl w:val="0"/>
          <w:numId w:val="2"/>
        </w:numPr>
        <w:spacing w:after="60" w:before="60"/>
      </w:pPr>
      <w:r>
        <w:rPr>
          <w:rFonts w:ascii="Arial" w:cs="Arial" w:eastAsia="Arial" w:hAnsi="Arial"/>
          <w:color w:val="1A1A1A"/>
          <w:sz w:val="22"/>
          <w:szCs w:val="22"/>
        </w:rPr>
        <w:t xml:space="preserve">Heavy makeup cannot be fully computationally removed; patients should scan without makeup for maximum accuracy</w:t>
      </w:r>
    </w:p>
    <w:p>
      <w:pPr>
        <w:pStyle w:val="ListParagraph"/>
        <w:numPr>
          <w:ilvl w:val="0"/>
          <w:numId w:val="2"/>
        </w:numPr>
        <w:spacing w:after="60" w:before="60"/>
      </w:pPr>
      <w:r>
        <w:rPr>
          <w:rFonts w:ascii="Arial" w:cs="Arial" w:eastAsia="Arial" w:hAnsi="Arial"/>
          <w:color w:val="1A1A1A"/>
          <w:sz w:val="22"/>
          <w:szCs w:val="22"/>
        </w:rPr>
        <w:t xml:space="preserve">Lighting conditions that cannot be corrected (e.g., strongly colored ambient light in a room) may still introduce residual color bias after normalization</w:t>
      </w:r>
    </w:p>
    <w:p>
      <w:pPr>
        <w:pStyle w:val="ListParagraph"/>
        <w:numPr>
          <w:ilvl w:val="0"/>
          <w:numId w:val="2"/>
        </w:numPr>
        <w:spacing w:after="60" w:before="60"/>
      </w:pPr>
      <w:r>
        <w:rPr>
          <w:rFonts w:ascii="Arial" w:cs="Arial" w:eastAsia="Arial" w:hAnsi="Arial"/>
          <w:color w:val="1A1A1A"/>
          <w:sz w:val="22"/>
          <w:szCs w:val="22"/>
        </w:rPr>
        <w:t xml:space="preserve">Comparative accuracy across Fitzpatrick Types V–VI is lower than Types I–III due to historically smaller dermatological imaging datasets for darker skin tones. Clinical review thresholds for these patients should be correspondingly more conservative.</w:t>
      </w:r>
    </w:p>
    <w:p>
      <w:pPr>
        <w:spacing w:after="0" w:before="160"/>
      </w:pPr>
    </w:p>
    <w:p>
      <w:pPr>
        <w:pStyle w:val="Heading2"/>
        <w:spacing w:after="120" w:before="280"/>
      </w:pPr>
      <w:r>
        <w:rPr>
          <w:rFonts w:ascii="Arial" w:cs="Arial" w:eastAsia="Arial" w:hAnsi="Arial"/>
          <w:b/>
          <w:bCs/>
          <w:color w:val="0F6E56"/>
          <w:sz w:val="28"/>
          <w:szCs w:val="28"/>
        </w:rPr>
        <w:t xml:space="preserve">10.3  Dermatologist review interface features</w:t>
      </w:r>
    </w:p>
    <w:p>
      <w:pPr>
        <w:pStyle w:val="ListParagraph"/>
        <w:numPr>
          <w:ilvl w:val="0"/>
          <w:numId w:val="2"/>
        </w:numPr>
        <w:spacing w:after="60" w:before="60"/>
      </w:pPr>
      <w:r>
        <w:rPr>
          <w:rFonts w:ascii="Arial" w:cs="Arial" w:eastAsia="Arial" w:hAnsi="Arial"/>
          <w:color w:val="1A1A1A"/>
          <w:sz w:val="22"/>
          <w:szCs w:val="22"/>
        </w:rPr>
        <w:t xml:space="preserve">3D model viewer: interactive rotation, zoom, and condition overlay toggling by category</w:t>
      </w:r>
    </w:p>
    <w:p>
      <w:pPr>
        <w:pStyle w:val="ListParagraph"/>
        <w:numPr>
          <w:ilvl w:val="0"/>
          <w:numId w:val="2"/>
        </w:numPr>
        <w:spacing w:after="60" w:before="60"/>
      </w:pPr>
      <w:r>
        <w:rPr>
          <w:rFonts w:ascii="Arial" w:cs="Arial" w:eastAsia="Arial" w:hAnsi="Arial"/>
          <w:color w:val="1A1A1A"/>
          <w:sz w:val="22"/>
          <w:szCs w:val="22"/>
        </w:rPr>
        <w:t xml:space="preserve">Comparison slider: side-by-side or overlay view of any two scan dates with condition heatmap diff</w:t>
      </w:r>
    </w:p>
    <w:p>
      <w:pPr>
        <w:pStyle w:val="ListParagraph"/>
        <w:numPr>
          <w:ilvl w:val="0"/>
          <w:numId w:val="2"/>
        </w:numPr>
        <w:spacing w:after="60" w:before="60"/>
      </w:pPr>
      <w:r>
        <w:rPr>
          <w:rFonts w:ascii="Arial" w:cs="Arial" w:eastAsia="Arial" w:hAnsi="Arial"/>
          <w:color w:val="1A1A1A"/>
          <w:sz w:val="22"/>
          <w:szCs w:val="22"/>
        </w:rPr>
        <w:t xml:space="preserve">Severity timeline charts: per-condition severity index plotted across all scan dates with confidence bands</w:t>
      </w:r>
    </w:p>
    <w:p>
      <w:pPr>
        <w:pStyle w:val="ListParagraph"/>
        <w:numPr>
          <w:ilvl w:val="0"/>
          <w:numId w:val="2"/>
        </w:numPr>
        <w:spacing w:after="60" w:before="60"/>
      </w:pPr>
      <w:r>
        <w:rPr>
          <w:rFonts w:ascii="Arial" w:cs="Arial" w:eastAsia="Arial" w:hAnsi="Arial"/>
          <w:color w:val="1A1A1A"/>
          <w:sz w:val="22"/>
          <w:szCs w:val="22"/>
        </w:rPr>
        <w:t xml:space="preserve">Region annotation: dermatologist can annotate specific regions on the 3D model with clinical notes</w:t>
      </w:r>
    </w:p>
    <w:p>
      <w:pPr>
        <w:pStyle w:val="ListParagraph"/>
        <w:numPr>
          <w:ilvl w:val="0"/>
          <w:numId w:val="2"/>
        </w:numPr>
        <w:spacing w:after="60" w:before="60"/>
      </w:pPr>
      <w:r>
        <w:rPr>
          <w:rFonts w:ascii="Arial" w:cs="Arial" w:eastAsia="Arial" w:hAnsi="Arial"/>
          <w:color w:val="1A1A1A"/>
          <w:sz w:val="22"/>
          <w:szCs w:val="22"/>
        </w:rPr>
        <w:t xml:space="preserve">Override and correction: dermatologist can correct AI labels, adjust Fitzpatrick type, and suppress or confirm flagged changes</w:t>
      </w:r>
    </w:p>
    <w:p>
      <w:pPr>
        <w:pStyle w:val="ListParagraph"/>
        <w:numPr>
          <w:ilvl w:val="0"/>
          <w:numId w:val="2"/>
        </w:numPr>
        <w:spacing w:after="60" w:before="60"/>
      </w:pPr>
      <w:r>
        <w:rPr>
          <w:rFonts w:ascii="Arial" w:cs="Arial" w:eastAsia="Arial" w:hAnsi="Arial"/>
          <w:color w:val="1A1A1A"/>
          <w:sz w:val="22"/>
          <w:szCs w:val="22"/>
        </w:rPr>
        <w:t xml:space="preserve">Report export: PDF and structured data (FHIR-compatible) export for integration with clinical records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after="40" w:before="0"/>
            </w:pPr>
            <w:r>
              <w:rPr>
                <w:rFonts w:ascii="Arial" w:cs="Arial" w:eastAsia="Arial" w:hAnsi="Arial"/>
                <w:color w:val="99AACC"/>
                <w:sz w:val="18"/>
                <w:szCs w:val="18"/>
              </w:rPr>
              <w:t xml:space="preserve">SECTION G  </w:t>
            </w:r>
            <w:r>
              <w:rPr>
                <w:rFonts w:ascii="Arial" w:cs="Arial" w:eastAsia="Arial" w:hAnsi="Arial"/>
                <w:b/>
                <w:bCs/>
                <w:color w:val="FFFFFF"/>
                <w:sz w:val="26"/>
                <w:szCs w:val="26"/>
              </w:rPr>
              <w:t xml:space="preserve">GLOSSARY</w:t>
            </w:r>
          </w:p>
          <w:p>
            <w:pPr>
              <w:spacing w:after="0" w:before="0"/>
            </w:pPr>
            <w:r>
              <w:rPr>
                <w:rFonts w:ascii="Arial" w:cs="Arial" w:eastAsia="Arial" w:hAnsi="Arial"/>
                <w:color w:val="AABBDD"/>
                <w:sz w:val="20"/>
                <w:szCs w:val="20"/>
              </w:rPr>
              <w:t xml:space="preserve">Technical and clinical terms used in this document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Basel Face Model (BFM)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3D morphable face model trained on a population of facial scans, used as a statistical prior to constrain non-rigid mesh registration and prevent non-physiological deformations during alignment.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CIEDE2000 (ΔE)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International standard metric for perceptually uniform color difference. A ΔE of 1.0 represents the smallest color difference perceptible to an average human observer. Used throughout this system for all color-change measurements.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Confidence interval (CI)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range of values within which the true measurement value lies with a specified probability (95% in this document). Example: acne-affected area 8.2mm² (95% CI: 7.6–8.8mm²).</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Cross-polarized photography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 imaging technique that uses co-aligned polarizing filters on the light source and camera lens to suppress surface (specular) reflection, isolating subsurface (diffuse) scattering. Reveals subsurface pigmentation, vascularity, and deeper skin structure invisible in standard photographs.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Fitzpatrick scale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six-point classification system (Types I–VI) characterizing skin response to UV exposure and correlating with baseline melanin content. Type I: very fair, always burns; Type VI: deeply pigmented, never burns. Used in this system to calibrate condition thresholds per patient.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IGA (Investigator Global Assessment)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validated clinical scale rating overall acne severity from 0 (clear) to 4 (severe), widely used in clinical trials as the primary endpoint measure.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ITA (Individual Typology Angle)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colorimetric measurement computed from L*a*b* values of a skin region: ITA° = arctan((L*−50)/b*) × 180/π. Correlates with Fitzpatrick type and is used to automate skin tone estimation from imagery.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Marching Cubes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 algorithm that extracts a triangulated surface mesh from a volumetric scalar field (such as a TSDF grid) by interpolating the zero-crossing surface through each voxel cube.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Monte Carlo Dropout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technique for estimating uncertainty in deep neural network predictions by applying dropout at inference time and averaging predictions across multiple stochastic forward passes. The variance across passes estimates the model's epistemic uncertainty.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Non-rigid ICP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Iterative Closest Point algorithm extended to allow non-rigid (locally deformable) transformations between two meshes, enabling alignment that accommodates soft-tissue shape changes between scan sessions.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Retinex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computational model of human color perception, used here as an algorithm to separate an image into its intrinsic reflectance component (the skin's true color, lighting-independent) and its illumination component (the lighting effect). Named after 'retina' + 'cortex'.</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SegFormer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semantic segmentation neural network architecture based on a hierarchical Transformer encoder. Used in this system for per-pixel skin condition classification on the UV texture atlas.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TSDF (Truncated Signed Distance Function)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volumetric representation that stores, for each point in a 3D grid, the signed distance to the nearest surface and a weight. Positive values are outside the surface; negative values inside. Fusing multiple depth frames via TSDF averages away noise and produces a high-quality surface reconstruction.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UV map / UV atlas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2D parameterization of a 3D mesh surface. Each 3D surface point corresponds to a unique (u, v) coordinate in the 2D texture image. This allows AI analysis to be performed on a standard 2D image while preserving the spatial relationship to the 3D structure.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YOLOv8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family of real-time object detection neural networks used in this system for individual lesion instance detection and count.</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after="60" w:before="0"/>
              <w:jc w:val="center"/>
            </w:pPr>
            <w:r>
              <w:rPr>
                <w:rFonts w:ascii="Arial" w:cs="Arial" w:eastAsia="Arial" w:hAnsi="Arial"/>
                <w:b/>
                <w:bCs/>
                <w:color w:val="FFFFFF"/>
                <w:sz w:val="22"/>
                <w:szCs w:val="22"/>
              </w:rPr>
              <w:t xml:space="preserve">End of Documentation</w:t>
            </w:r>
          </w:p>
          <w:p>
            <w:pPr>
              <w:spacing w:after="0" w:before="0"/>
              <w:jc w:val="center"/>
            </w:pPr>
            <w:r>
              <w:rPr>
                <w:rFonts w:ascii="Arial" w:cs="Arial" w:eastAsia="Arial" w:hAnsi="Arial"/>
                <w:color w:val="AABBDD"/>
                <w:sz w:val="20"/>
                <w:szCs w:val="20"/>
              </w:rPr>
              <w:t xml:space="preserve">For technical questions, implementation support, or clinical validation partnership inquiries, contact the engineering team.</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spacing w:after="0" w:before="120"/>
    </w:pPr>
    <w:r>
      <w:rPr>
        <w:rFonts w:ascii="Arial" w:cs="Arial" w:eastAsia="Arial" w:hAnsi="Arial"/>
        <w:color w:val="AAAAAA"/>
        <w:sz w:val="16"/>
        <w:szCs w:val="16"/>
      </w:rPr>
      <w:t xml:space="preserve">Confidential  —  For Clinical Review</w:t>
    </w:r>
    <w:r>
      <w:rPr>
        <w:rFonts w:ascii="Arial" w:cs="Arial" w:eastAsia="Arial" w:hAnsi="Arial"/>
        <w:sz w:val="16"/>
        <w:szCs w:val="16"/>
      </w:rPr>
      <w:t xml:space="preserve">		</w:t>
    </w:r>
    <w:r>
      <w:rPr>
        <w:rFonts w:ascii="Arial" w:cs="Arial" w:eastAsia="Arial" w:hAnsi="Arial"/>
        <w:color w:val="AAAAAA"/>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spacing w:after="0"/>
    </w:pPr>
    <w:r>
      <w:rPr>
        <w:rFonts w:ascii="Arial" w:cs="Arial" w:eastAsia="Arial" w:hAnsi="Arial"/>
        <w:color w:val="888888"/>
        <w:sz w:val="18"/>
        <w:szCs w:val="18"/>
      </w:rPr>
      <w:t xml:space="preserve">AI Facial Skin Analysis System</w:t>
    </w:r>
    <w:r>
      <w:rPr>
        <w:rFonts w:ascii="Arial" w:cs="Arial" w:eastAsia="Arial" w:hAnsi="Arial"/>
        <w:color w:val="AAAAAA"/>
        <w:sz w:val="18"/>
        <w:szCs w:val="18"/>
      </w:rPr>
      <w:t xml:space="preserve">  |  Dermatologist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2026-04-02T18:56:22.760Z</dcterms:created>
  <dcterms:modified xsi:type="dcterms:W3CDTF">2026-04-02T18:56:22.761Z</dcterms:modified>
</cp:coreProperties>
</file>

<file path=docProps/custom.xml><?xml version="1.0" encoding="utf-8"?>
<Properties xmlns="http://schemas.openxmlformats.org/officeDocument/2006/custom-properties" xmlns:vt="http://schemas.openxmlformats.org/officeDocument/2006/docPropsVTypes"/>
</file>