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10" w:space="8"/>
        </w:pBdr>
        <w:spacing w:after="160" w:before="0"/>
      </w:pPr>
      <w:r>
        <w:rPr>
          <w:rFonts w:ascii="Times New Roman" w:cs="Times New Roman" w:eastAsia="Times New Roman" w:hAnsi="Times New Roman"/>
          <w:b/>
          <w:bCs/>
          <w:color w:val="1F3864"/>
          <w:sz w:val="32"/>
          <w:szCs w:val="32"/>
        </w:rPr>
        <w:t xml:space="preserve">Chapter 5: Results and Analysis</w:t>
      </w:r>
    </w:p>
    <w:p>
      <w:pPr>
        <w:pStyle w:val="Heading2"/>
        <w:spacing w:after="100" w:before="320"/>
      </w:pPr>
      <w:r>
        <w:rPr>
          <w:rFonts w:ascii="Times New Roman" w:cs="Times New Roman" w:eastAsia="Times New Roman" w:hAnsi="Times New Roman"/>
          <w:b/>
          <w:bCs/>
          <w:color w:val="1F3864"/>
          <w:sz w:val="26"/>
          <w:szCs w:val="26"/>
        </w:rPr>
        <w:t xml:space="preserve">5.1 Chapter Overview</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This chapter presents the empirical findings of the two-phase experimental investigation conducted in accordance with Objectives 1 and 2 of this dissertation. Section 5.2 summarises the characteristics of the astrometric observation datasets retrieved for both Near-Earth Objects under investigation. Section 5.3 presents the results of the adversarial data injection module across three attack archetypes. Section 5.4 reports the orbital propagation results produced by the General Mission Analysis Tool (GMAT), quantifying the Close Approach Distance (CAD) delta attributable to each injection scenario. Section 5.5 applies the Multi-Criteria Decision Analysis (MCDA) risk scoring framework to synthesise the findings into a structured threat assessment. Section 5.6 identifies the cross-object findings and novel contributions emerging from the comparative analysis.</w:t>
      </w:r>
    </w:p>
    <w:p>
      <w:pPr>
        <w:pStyle w:val="Heading2"/>
        <w:spacing w:after="100" w:before="320"/>
      </w:pPr>
      <w:r>
        <w:rPr>
          <w:rFonts w:ascii="Times New Roman" w:cs="Times New Roman" w:eastAsia="Times New Roman" w:hAnsi="Times New Roman"/>
          <w:b/>
          <w:bCs/>
          <w:color w:val="1F3864"/>
          <w:sz w:val="26"/>
          <w:szCs w:val="26"/>
        </w:rPr>
        <w:t xml:space="preserve">5.2 Observation Dataset Characteristics</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Real astrometric observation data were retrieved for both target objects directly from the Minor Planet Center (MPC) Observations API in ADES XML format. The retrieval was performed using a purpose-built Python data collection module (Script 01), with all data stored locally for reproducible analysis. Table 5.1 summarises the key characteristics of the two retrieved datasets.</w:t>
      </w:r>
    </w:p>
    <w:p>
      <w:pPr>
        <w:spacing w:after="8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2430"/>
      </w:tblGrid>
      <w:tr>
        <w:trPr>
          <w:tblHeader/>
        </w:trPr>
        <w:tc>
          <w:tcPr>
            <w:tcW w:type="dxa" w:w="35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Parameter</w:t>
            </w:r>
          </w:p>
        </w:tc>
        <w:tc>
          <w:tcPr>
            <w:tcW w:type="dxa" w:w="243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Apophis (99942)</w:t>
            </w:r>
          </w:p>
        </w:tc>
        <w:tc>
          <w:tcPr>
            <w:tcW w:type="dxa" w:w="243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Bennu (101955)</w:t>
            </w:r>
          </w:p>
        </w:tc>
      </w:tr>
      <w:tr>
        <w:tc>
          <w:tcPr>
            <w:tcW w:type="dxa" w:w="35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Total observations retrieved</w:t>
            </w:r>
          </w:p>
        </w:tc>
        <w:tc>
          <w:tcPr>
            <w:tcW w:type="dxa" w:w="243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9,520</w:t>
            </w:r>
          </w:p>
        </w:tc>
        <w:tc>
          <w:tcPr>
            <w:tcW w:type="dxa" w:w="243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603</w:t>
            </w:r>
          </w:p>
        </w:tc>
      </w:tr>
      <w:tr>
        <w:tc>
          <w:tcPr>
            <w:tcW w:type="dxa" w:w="35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Usable observations (post-cleaning)</w:t>
            </w:r>
          </w:p>
        </w:tc>
        <w:tc>
          <w:tcPr>
            <w:tcW w:type="dxa" w:w="243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9,337</w:t>
            </w:r>
          </w:p>
        </w:tc>
        <w:tc>
          <w:tcPr>
            <w:tcW w:type="dxa" w:w="243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603</w:t>
            </w:r>
          </w:p>
        </w:tc>
      </w:tr>
      <w:tr>
        <w:tc>
          <w:tcPr>
            <w:tcW w:type="dxa" w:w="35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Incomplete records removed</w:t>
            </w:r>
          </w:p>
        </w:tc>
        <w:tc>
          <w:tcPr>
            <w:tcW w:type="dxa" w:w="243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183</w:t>
            </w:r>
          </w:p>
        </w:tc>
        <w:tc>
          <w:tcPr>
            <w:tcW w:type="dxa" w:w="243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w:t>
            </w:r>
          </w:p>
        </w:tc>
      </w:tr>
      <w:tr>
        <w:tc>
          <w:tcPr>
            <w:tcW w:type="dxa" w:w="35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Date range (first observation)</w:t>
            </w:r>
          </w:p>
        </w:tc>
        <w:tc>
          <w:tcPr>
            <w:tcW w:type="dxa" w:w="243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15 March 2004</w:t>
            </w:r>
          </w:p>
        </w:tc>
        <w:tc>
          <w:tcPr>
            <w:tcW w:type="dxa" w:w="243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11 September 1999</w:t>
            </w:r>
          </w:p>
        </w:tc>
      </w:tr>
      <w:tr>
        <w:tc>
          <w:tcPr>
            <w:tcW w:type="dxa" w:w="35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Date range (last observation)</w:t>
            </w:r>
          </w:p>
        </w:tc>
        <w:tc>
          <w:tcPr>
            <w:tcW w:type="dxa" w:w="243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2021</w:t>
            </w:r>
          </w:p>
        </w:tc>
        <w:tc>
          <w:tcPr>
            <w:tcW w:type="dxa" w:w="243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28 April 2025</w:t>
            </w:r>
          </w:p>
        </w:tc>
      </w:tr>
      <w:tr>
        <w:tc>
          <w:tcPr>
            <w:tcW w:type="dxa" w:w="35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Unique observing stations</w:t>
            </w:r>
          </w:p>
        </w:tc>
        <w:tc>
          <w:tcPr>
            <w:tcW w:type="dxa" w:w="243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231</w:t>
            </w:r>
          </w:p>
        </w:tc>
        <w:tc>
          <w:tcPr>
            <w:tcW w:type="dxa" w:w="243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47</w:t>
            </w:r>
          </w:p>
        </w:tc>
      </w:tr>
      <w:tr>
        <w:tc>
          <w:tcPr>
            <w:tcW w:type="dxa" w:w="35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Unique tracklet groups</w:t>
            </w:r>
          </w:p>
        </w:tc>
        <w:tc>
          <w:tcPr>
            <w:tcW w:type="dxa" w:w="243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197</w:t>
            </w:r>
          </w:p>
        </w:tc>
        <w:tc>
          <w:tcPr>
            <w:tcW w:type="dxa" w:w="243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16</w:t>
            </w:r>
          </w:p>
        </w:tc>
      </w:tr>
      <w:tr>
        <w:tc>
          <w:tcPr>
            <w:tcW w:type="dxa" w:w="35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Data format</w:t>
            </w:r>
          </w:p>
        </w:tc>
        <w:tc>
          <w:tcPr>
            <w:tcW w:type="dxa" w:w="243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ADES XML (MPC v2022)</w:t>
            </w:r>
          </w:p>
        </w:tc>
        <w:tc>
          <w:tcPr>
            <w:tcW w:type="dxa" w:w="243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ADES XML (MPC v2022)</w:t>
            </w:r>
          </w:p>
        </w:tc>
      </w:tr>
    </w:tbl>
    <w:p>
      <w:pPr>
        <w:spacing w:after="160" w:before="40"/>
        <w:jc w:val="center"/>
      </w:pPr>
      <w:r>
        <w:rPr>
          <w:rFonts w:ascii="Times New Roman" w:cs="Times New Roman" w:eastAsia="Times New Roman" w:hAnsi="Times New Roman"/>
          <w:i/>
          <w:iCs/>
          <w:color w:val="595959"/>
          <w:sz w:val="20"/>
          <w:szCs w:val="20"/>
        </w:rPr>
        <w:t xml:space="preserve">Table 5.1: Astrometric observation dataset characteristics — Apophis and Bennu</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marked disparity in observation density between the two objects is significant. Apophis has accumulated 9,337 usable observations across 231 stations over 17 years of intensive tracking, driven by its prominent close approach history and inclusion in planetary defense priority catalogues. Bennu, by contrast, has only 603 observations from 47 stations despite being discovered in 1999, reflecting its smaller apparent magnitude and the more specialised nature of its tracking programme. As demonstrated in Section 5.4, this difference in observation density emerges as a significant security variable in the context of targeted injection attacks.</w:t>
      </w:r>
    </w:p>
    <w:p>
      <w:pPr>
        <w:pStyle w:val="Heading2"/>
        <w:spacing w:after="100" w:before="320"/>
      </w:pPr>
      <w:r>
        <w:rPr>
          <w:rFonts w:ascii="Times New Roman" w:cs="Times New Roman" w:eastAsia="Times New Roman" w:hAnsi="Times New Roman"/>
          <w:b/>
          <w:bCs/>
          <w:color w:val="1F3864"/>
          <w:sz w:val="26"/>
          <w:szCs w:val="26"/>
        </w:rPr>
        <w:t xml:space="preserve">5.3 Adversarial Injection Results</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adversarial injection module (Script 03) was applied to both cleaned datasets, producing three manipulated copies of each: a systematic bias dataset, a stochastic noise dataset, and a targeted outlier dataset. Table 5.2 presents the injection parameters and measured coordinate perturbations for each archetype across both objects.</w:t>
      </w:r>
    </w:p>
    <w:p>
      <w:pPr>
        <w:spacing w:after="8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1960"/>
      </w:tblGrid>
      <w:tr>
        <w:trPr>
          <w:tblHeader/>
        </w:trPr>
        <w:tc>
          <w:tcPr>
            <w:tcW w:type="dxa" w:w="22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Archetype</w:t>
            </w:r>
          </w:p>
        </w:tc>
        <w:tc>
          <w:tcPr>
            <w:tcW w:type="dxa" w:w="22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Parameter</w:t>
            </w:r>
          </w:p>
        </w:tc>
        <w:tc>
          <w:tcPr>
            <w:tcW w:type="dxa" w:w="20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Apophis Result</w:t>
            </w:r>
          </w:p>
        </w:tc>
        <w:tc>
          <w:tcPr>
            <w:tcW w:type="dxa" w:w="196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Bennu Result</w:t>
            </w:r>
          </w:p>
        </w:tc>
      </w:tr>
      <w:tr>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Systematic Bias</w:t>
            </w:r>
          </w:p>
        </w:tc>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Observations modified</w:t>
            </w:r>
          </w:p>
        </w:tc>
        <w:tc>
          <w:tcPr>
            <w:tcW w:type="dxa" w:w="20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9,337 / 9,337 (100%)</w:t>
            </w:r>
          </w:p>
        </w:tc>
        <w:tc>
          <w:tcPr>
            <w:tcW w:type="dxa" w:w="19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603 / 603 (100%)</w:t>
            </w:r>
          </w:p>
        </w:tc>
      </w:tr>
      <w:tr>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Systematic Bias</w:t>
            </w:r>
          </w:p>
        </w:tc>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Mean RA shift (arcsec)</w:t>
            </w:r>
          </w:p>
        </w:tc>
        <w:tc>
          <w:tcPr>
            <w:tcW w:type="dxa" w:w="20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2.000</w:t>
            </w:r>
          </w:p>
        </w:tc>
        <w:tc>
          <w:tcPr>
            <w:tcW w:type="dxa" w:w="19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2.000</w:t>
            </w:r>
          </w:p>
        </w:tc>
      </w:tr>
      <w:tr>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Systematic Bias</w:t>
            </w:r>
          </w:p>
        </w:tc>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Max RA shift (arcsec)</w:t>
            </w:r>
          </w:p>
        </w:tc>
        <w:tc>
          <w:tcPr>
            <w:tcW w:type="dxa" w:w="20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2.000</w:t>
            </w:r>
          </w:p>
        </w:tc>
        <w:tc>
          <w:tcPr>
            <w:tcW w:type="dxa" w:w="19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2.000</w:t>
            </w:r>
          </w:p>
        </w:tc>
      </w:tr>
      <w:tr>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Stochastic Noise</w:t>
            </w:r>
          </w:p>
        </w:tc>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Observations modified</w:t>
            </w:r>
          </w:p>
        </w:tc>
        <w:tc>
          <w:tcPr>
            <w:tcW w:type="dxa" w:w="20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9,337 / 9,337 (100%)</w:t>
            </w:r>
          </w:p>
        </w:tc>
        <w:tc>
          <w:tcPr>
            <w:tcW w:type="dxa" w:w="19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603 / 603 (100%)</w:t>
            </w:r>
          </w:p>
        </w:tc>
      </w:tr>
      <w:tr>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Stochastic Noise</w:t>
            </w:r>
          </w:p>
        </w:tc>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Mean RA shift (arcsec)</w:t>
            </w:r>
          </w:p>
        </w:tc>
        <w:tc>
          <w:tcPr>
            <w:tcW w:type="dxa" w:w="20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1.197</w:t>
            </w:r>
          </w:p>
        </w:tc>
        <w:tc>
          <w:tcPr>
            <w:tcW w:type="dxa" w:w="19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1.163</w:t>
            </w:r>
          </w:p>
        </w:tc>
      </w:tr>
      <w:tr>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Stochastic Noise</w:t>
            </w:r>
          </w:p>
        </w:tc>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Max RA shift (arcsec)</w:t>
            </w:r>
          </w:p>
        </w:tc>
        <w:tc>
          <w:tcPr>
            <w:tcW w:type="dxa" w:w="20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6.584</w:t>
            </w:r>
          </w:p>
        </w:tc>
        <w:tc>
          <w:tcPr>
            <w:tcW w:type="dxa" w:w="19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4.447</w:t>
            </w:r>
          </w:p>
        </w:tc>
      </w:tr>
      <w:tr>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Targeted Outlier</w:t>
            </w:r>
          </w:p>
        </w:tc>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Observations modified</w:t>
            </w:r>
          </w:p>
        </w:tc>
        <w:tc>
          <w:tcPr>
            <w:tcW w:type="dxa" w:w="20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20 / 9,337 (0.21%)</w:t>
            </w:r>
          </w:p>
        </w:tc>
        <w:tc>
          <w:tcPr>
            <w:tcW w:type="dxa" w:w="19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20 / 603 (3.32%)</w:t>
            </w:r>
          </w:p>
        </w:tc>
      </w:tr>
      <w:tr>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Targeted Outlier</w:t>
            </w:r>
          </w:p>
        </w:tc>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Mean RA shift (arcsec)</w:t>
            </w:r>
          </w:p>
        </w:tc>
        <w:tc>
          <w:tcPr>
            <w:tcW w:type="dxa" w:w="20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0.064</w:t>
            </w:r>
          </w:p>
        </w:tc>
        <w:tc>
          <w:tcPr>
            <w:tcW w:type="dxa" w:w="19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0.995</w:t>
            </w:r>
          </w:p>
        </w:tc>
      </w:tr>
      <w:tr>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Targeted Outlier</w:t>
            </w:r>
          </w:p>
        </w:tc>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Max RA shift (arcsec)</w:t>
            </w:r>
          </w:p>
        </w:tc>
        <w:tc>
          <w:tcPr>
            <w:tcW w:type="dxa" w:w="20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30.000</w:t>
            </w:r>
          </w:p>
        </w:tc>
        <w:tc>
          <w:tcPr>
            <w:tcW w:type="dxa" w:w="19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30.000</w:t>
            </w:r>
          </w:p>
        </w:tc>
      </w:tr>
    </w:tbl>
    <w:p>
      <w:pPr>
        <w:spacing w:after="160" w:before="40"/>
        <w:jc w:val="center"/>
      </w:pPr>
      <w:r>
        <w:rPr>
          <w:rFonts w:ascii="Times New Roman" w:cs="Times New Roman" w:eastAsia="Times New Roman" w:hAnsi="Times New Roman"/>
          <w:i/>
          <w:iCs/>
          <w:color w:val="595959"/>
          <w:sz w:val="20"/>
          <w:szCs w:val="20"/>
        </w:rPr>
        <w:t xml:space="preserve">Table 5.2: Adversarial injection results by archetype and target object</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Several observations are noteworthy. First, the systematic bias archetype produces a perfectly uniform shift across all observations, as expected by design. Second, the stochastic noise archetype produces approximately equal mean shifts for both objects but with higher maximum values for Apophis, which is attributable to the larger sample size producing more extreme values in the tails of the normal distribution. Third, and most significantly, the targeted outlier archetype modifies a markedly different proportion of each dataset: 0.21% for Apophis versus 3.32% for Bennu, despite an identical number of targeted observations (n=20). This proportional difference has important implications for the orbital impact results discussed in Section 5.4.</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All three archetypes were specifically parameterised to operate at magnitudes plausibly below the detection threshold of the MPC’s automated quality filters. Standard MPC data quality checks flag observations with residuals exceeding approximately 2–5 arcseconds. The systematic bias at 2.0 arcseconds sits at the margin of this threshold, while the targeted outlier attack’s mean shift of 0.064 arcseconds (Apophis) falls well below it — demonstrating that a stealthy precision attack could plausibly evade routine quality screening.</w:t>
      </w:r>
    </w:p>
    <w:p>
      <w:pPr>
        <w:pStyle w:val="Heading2"/>
        <w:spacing w:after="100" w:before="320"/>
      </w:pPr>
      <w:r>
        <w:rPr>
          <w:rFonts w:ascii="Times New Roman" w:cs="Times New Roman" w:eastAsia="Times New Roman" w:hAnsi="Times New Roman"/>
          <w:b/>
          <w:bCs/>
          <w:color w:val="1F3864"/>
          <w:sz w:val="26"/>
          <w:szCs w:val="26"/>
        </w:rPr>
        <w:t xml:space="preserve">5.4 Orbital Propagation Results (GMAT)</w:t>
      </w:r>
    </w:p>
    <w:p>
      <w:pPr>
        <w:pStyle w:val="Heading3"/>
        <w:spacing w:after="80" w:before="220"/>
      </w:pPr>
      <w:r>
        <w:rPr>
          <w:rFonts w:ascii="Times New Roman" w:cs="Times New Roman" w:eastAsia="Times New Roman" w:hAnsi="Times New Roman"/>
          <w:b/>
          <w:bCs/>
          <w:i/>
          <w:iCs/>
          <w:color w:val="2E75B6"/>
          <w:sz w:val="24"/>
          <w:szCs w:val="24"/>
        </w:rPr>
        <w:t xml:space="preserve">5.4.1 Simulation Configuration</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Orbital propagation was performed using NASA’s General Mission Analysis Tool (GMAT) R2026a. For each scenario, geocentric Cartesian state vectors were retrieved from the JPL Horizons API and used to initialise a spacecraft object in the EarthMJ2000Eq coordinate frame. The force model incorporated Earth as the central body with zero-degree gravity field, supplemented by point-mass perturbations from the Sun, Luna, and Jupiter. The RungeKutta89 integrator was used for all propagation runs. Each scenario was propagated forward by 20 days from the initial epoch, recording Earth distance (RMAG) at each timestep to establish the minimum close approach distance.</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It is acknowledged as a methodological limitation that the GMAT simulation baseline distances differ from the published JPL Horizons close approach values for both objects. This arises from the simplified force model employed, which excludes non-gravitational forces (Yarkovsky effect), higher-degree gravity harmonics, and planetary ephemeris perturbations used in operational orbit determination. The research design explicitly addresses this limitation by focusing on the relative CAD delta between clean and attacked scenarios rather than absolute distance reproduction. The delta values are internally consistent and constitute a valid comparative measure of injection impact within the simulation framework employed.</w:t>
      </w:r>
    </w:p>
    <w:p>
      <w:pPr>
        <w:pStyle w:val="Heading3"/>
        <w:spacing w:after="80" w:before="220"/>
      </w:pPr>
      <w:r>
        <w:rPr>
          <w:rFonts w:ascii="Times New Roman" w:cs="Times New Roman" w:eastAsia="Times New Roman" w:hAnsi="Times New Roman"/>
          <w:b/>
          <w:bCs/>
          <w:i/>
          <w:iCs/>
          <w:color w:val="2E75B6"/>
          <w:sz w:val="24"/>
          <w:szCs w:val="24"/>
        </w:rPr>
        <w:t xml:space="preserve">5.4.2 Apophis (99942) Close Approach Distance Results</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Table 5.3 presents the minimum Earth close approach distance recorded by GMAT for each Apophis scenario, alongside the delta from the clean baseline.</w:t>
      </w:r>
    </w:p>
    <w:p>
      <w:pPr>
        <w:spacing w:after="80" w:before="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1200"/>
        <w:gridCol w:w="2200"/>
        <w:gridCol w:w="1100"/>
      </w:tblGrid>
      <w:tr>
        <w:trPr>
          <w:tblHeader/>
        </w:trPr>
        <w:tc>
          <w:tcPr>
            <w:tcW w:type="dxa" w:w="27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Scenario</w:t>
            </w:r>
          </w:p>
        </w:tc>
        <w:tc>
          <w:tcPr>
            <w:tcW w:type="dxa" w:w="16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Min CAD (km)</w:t>
            </w:r>
          </w:p>
        </w:tc>
        <w:tc>
          <w:tcPr>
            <w:tcW w:type="dxa" w:w="12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Min CAD (LD)</w:t>
            </w:r>
          </w:p>
        </w:tc>
        <w:tc>
          <w:tcPr>
            <w:tcW w:type="dxa" w:w="22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Delta from Baseline (km)</w:t>
            </w:r>
          </w:p>
        </w:tc>
        <w:tc>
          <w:tcPr>
            <w:tcW w:type="dxa" w:w="11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Delta (LD)</w:t>
            </w:r>
          </w:p>
        </w:tc>
      </w:tr>
      <w:tr>
        <w:tc>
          <w:tcPr>
            <w:tcW w:type="dxa" w:w="2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Clean — Baseline</w:t>
            </w:r>
          </w:p>
        </w:tc>
        <w:tc>
          <w:tcPr>
            <w:tcW w:type="dxa" w:w="16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13,866,930</w:t>
            </w:r>
          </w:p>
        </w:tc>
        <w:tc>
          <w:tcPr>
            <w:tcW w:type="dxa" w:w="1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36.074</w:t>
            </w:r>
          </w:p>
        </w:tc>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w:t>
            </w:r>
          </w:p>
        </w:tc>
        <w:tc>
          <w:tcPr>
            <w:tcW w:type="dxa" w:w="11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0.0000</w:t>
            </w:r>
          </w:p>
        </w:tc>
      </w:tr>
      <w:tr>
        <w:tc>
          <w:tcPr>
            <w:tcW w:type="dxa" w:w="2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Systematic Bias (2.0 arcsec)</w:t>
            </w:r>
          </w:p>
        </w:tc>
        <w:tc>
          <w:tcPr>
            <w:tcW w:type="dxa" w:w="16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13,861,842</w:t>
            </w:r>
          </w:p>
        </w:tc>
        <w:tc>
          <w:tcPr>
            <w:tcW w:type="dxa" w:w="1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36.061</w:t>
            </w:r>
          </w:p>
        </w:tc>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−5,088</w:t>
            </w:r>
          </w:p>
        </w:tc>
        <w:tc>
          <w:tcPr>
            <w:tcW w:type="dxa" w:w="11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−0.0132</w:t>
            </w:r>
          </w:p>
        </w:tc>
      </w:tr>
      <w:tr>
        <w:tc>
          <w:tcPr>
            <w:tcW w:type="dxa" w:w="2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Stochastic Noise (1.5 arcsec)</w:t>
            </w:r>
          </w:p>
        </w:tc>
        <w:tc>
          <w:tcPr>
            <w:tcW w:type="dxa" w:w="16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13,864,360</w:t>
            </w:r>
          </w:p>
        </w:tc>
        <w:tc>
          <w:tcPr>
            <w:tcW w:type="dxa" w:w="1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36.068</w:t>
            </w:r>
          </w:p>
        </w:tc>
        <w:tc>
          <w:tcPr>
            <w:tcW w:type="dxa" w:w="2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−2,570</w:t>
            </w:r>
          </w:p>
        </w:tc>
        <w:tc>
          <w:tcPr>
            <w:tcW w:type="dxa" w:w="11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−0.0067</w:t>
            </w:r>
          </w:p>
        </w:tc>
      </w:tr>
      <w:tr>
        <w:tc>
          <w:tcPr>
            <w:tcW w:type="dxa" w:w="2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Targeted Outlier (30 arcsec)</w:t>
            </w:r>
          </w:p>
        </w:tc>
        <w:tc>
          <w:tcPr>
            <w:tcW w:type="dxa" w:w="16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13,866,443</w:t>
            </w:r>
          </w:p>
        </w:tc>
        <w:tc>
          <w:tcPr>
            <w:tcW w:type="dxa" w:w="1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36.074</w:t>
            </w:r>
          </w:p>
        </w:tc>
        <w:tc>
          <w:tcPr>
            <w:tcW w:type="dxa" w:w="2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−250</w:t>
            </w:r>
          </w:p>
        </w:tc>
        <w:tc>
          <w:tcPr>
            <w:tcW w:type="dxa" w:w="11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−0.0007</w:t>
            </w:r>
          </w:p>
        </w:tc>
      </w:tr>
    </w:tbl>
    <w:p>
      <w:pPr>
        <w:spacing w:after="160" w:before="40"/>
        <w:jc w:val="center"/>
      </w:pPr>
      <w:r>
        <w:rPr>
          <w:rFonts w:ascii="Times New Roman" w:cs="Times New Roman" w:eastAsia="Times New Roman" w:hAnsi="Times New Roman"/>
          <w:i/>
          <w:iCs/>
          <w:color w:val="595959"/>
          <w:sz w:val="20"/>
          <w:szCs w:val="20"/>
        </w:rPr>
        <w:t xml:space="preserve">Table 5.3: Apophis CAD results by injection scenario (LD = lunar distances, 1 LD = 384,400 km)</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systematic bias injection produces the largest CAD delta for Apophis at 5,088 km, reflecting the cumulative effect of a uniform 2.0 arcsecond shift applied consistently across all 9,337 observations. The stochastic noise injection produces a delta of 2,570 km — approximately half the systematic bias impact — consistent with the expected partial cancellation of random perturbations across a large observation set. The targeted outlier injection, despite involving the most extreme per-observation corruption (30 arcseconds per targeted point), produces the smallest delta at 250 km, owing to the small absolute number of corrupted observations relative to the full dataset size.</w:t>
      </w:r>
    </w:p>
    <w:p>
      <w:pPr>
        <w:pStyle w:val="Heading3"/>
        <w:spacing w:after="80" w:before="220"/>
      </w:pPr>
      <w:r>
        <w:rPr>
          <w:rFonts w:ascii="Times New Roman" w:cs="Times New Roman" w:eastAsia="Times New Roman" w:hAnsi="Times New Roman"/>
          <w:b/>
          <w:bCs/>
          <w:i/>
          <w:iCs/>
          <w:color w:val="2E75B6"/>
          <w:sz w:val="24"/>
          <w:szCs w:val="24"/>
        </w:rPr>
        <w:t xml:space="preserve">5.4.3 Bennu (101955) Close Approach Distance Results</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Table 5.4 presents the corresponding results for Bennu.</w:t>
      </w:r>
    </w:p>
    <w:p>
      <w:pPr>
        <w:spacing w:after="80" w:before="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300"/>
        <w:gridCol w:w="2100"/>
        <w:gridCol w:w="1000"/>
      </w:tblGrid>
      <w:tr>
        <w:trPr>
          <w:tblHeader/>
        </w:trPr>
        <w:tc>
          <w:tcPr>
            <w:tcW w:type="dxa" w:w="27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Scenario</w:t>
            </w:r>
          </w:p>
        </w:tc>
        <w:tc>
          <w:tcPr>
            <w:tcW w:type="dxa" w:w="17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Min CAD (km)</w:t>
            </w:r>
          </w:p>
        </w:tc>
        <w:tc>
          <w:tcPr>
            <w:tcW w:type="dxa" w:w="13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Min CAD (LD)</w:t>
            </w:r>
          </w:p>
        </w:tc>
        <w:tc>
          <w:tcPr>
            <w:tcW w:type="dxa" w:w="21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Delta from Baseline (km)</w:t>
            </w:r>
          </w:p>
        </w:tc>
        <w:tc>
          <w:tcPr>
            <w:tcW w:type="dxa" w:w="10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Delta (LD)</w:t>
            </w:r>
          </w:p>
        </w:tc>
      </w:tr>
      <w:tr>
        <w:tc>
          <w:tcPr>
            <w:tcW w:type="dxa" w:w="2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Clean — Baseline</w:t>
            </w:r>
          </w:p>
        </w:tc>
        <w:tc>
          <w:tcPr>
            <w:tcW w:type="dxa" w:w="1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262,350,077</w:t>
            </w:r>
          </w:p>
        </w:tc>
        <w:tc>
          <w:tcPr>
            <w:tcW w:type="dxa" w:w="13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682.492</w:t>
            </w:r>
          </w:p>
        </w:tc>
        <w:tc>
          <w:tcPr>
            <w:tcW w:type="dxa" w:w="21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w:t>
            </w:r>
          </w:p>
        </w:tc>
        <w:tc>
          <w:tcPr>
            <w:tcW w:type="dxa" w:w="10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0.0000</w:t>
            </w:r>
          </w:p>
        </w:tc>
      </w:tr>
      <w:tr>
        <w:tc>
          <w:tcPr>
            <w:tcW w:type="dxa" w:w="2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Systematic Bias (2.0 arcsec)</w:t>
            </w:r>
          </w:p>
        </w:tc>
        <w:tc>
          <w:tcPr>
            <w:tcW w:type="dxa" w:w="1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262,353,411</w:t>
            </w:r>
          </w:p>
        </w:tc>
        <w:tc>
          <w:tcPr>
            <w:tcW w:type="dxa" w:w="13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682.501</w:t>
            </w:r>
          </w:p>
        </w:tc>
        <w:tc>
          <w:tcPr>
            <w:tcW w:type="dxa" w:w="21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+3,335</w:t>
            </w:r>
          </w:p>
        </w:tc>
        <w:tc>
          <w:tcPr>
            <w:tcW w:type="dxa" w:w="10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+0.0087</w:t>
            </w:r>
          </w:p>
        </w:tc>
      </w:tr>
      <w:tr>
        <w:tc>
          <w:tcPr>
            <w:tcW w:type="dxa" w:w="2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Stochastic Noise (1.5 arcsec)</w:t>
            </w:r>
          </w:p>
        </w:tc>
        <w:tc>
          <w:tcPr>
            <w:tcW w:type="dxa" w:w="1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262,351,756</w:t>
            </w:r>
          </w:p>
        </w:tc>
        <w:tc>
          <w:tcPr>
            <w:tcW w:type="dxa" w:w="13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682.496</w:t>
            </w:r>
          </w:p>
        </w:tc>
        <w:tc>
          <w:tcPr>
            <w:tcW w:type="dxa" w:w="21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+1,680</w:t>
            </w:r>
          </w:p>
        </w:tc>
        <w:tc>
          <w:tcPr>
            <w:tcW w:type="dxa" w:w="10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+0.0044</w:t>
            </w:r>
          </w:p>
        </w:tc>
      </w:tr>
      <w:tr>
        <w:tc>
          <w:tcPr>
            <w:tcW w:type="dxa" w:w="2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Targeted Outlier (30 arcsec)</w:t>
            </w:r>
          </w:p>
        </w:tc>
        <w:tc>
          <w:tcPr>
            <w:tcW w:type="dxa" w:w="1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262,350,570</w:t>
            </w:r>
          </w:p>
        </w:tc>
        <w:tc>
          <w:tcPr>
            <w:tcW w:type="dxa" w:w="13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682.493</w:t>
            </w:r>
          </w:p>
        </w:tc>
        <w:tc>
          <w:tcPr>
            <w:tcW w:type="dxa" w:w="21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+494</w:t>
            </w:r>
          </w:p>
        </w:tc>
        <w:tc>
          <w:tcPr>
            <w:tcW w:type="dxa" w:w="10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+0.0013</w:t>
            </w:r>
          </w:p>
        </w:tc>
      </w:tr>
    </w:tbl>
    <w:p>
      <w:pPr>
        <w:spacing w:after="160" w:before="40"/>
        <w:jc w:val="center"/>
      </w:pPr>
      <w:r>
        <w:rPr>
          <w:rFonts w:ascii="Times New Roman" w:cs="Times New Roman" w:eastAsia="Times New Roman" w:hAnsi="Times New Roman"/>
          <w:i/>
          <w:iCs/>
          <w:color w:val="595959"/>
          <w:sz w:val="20"/>
          <w:szCs w:val="20"/>
        </w:rPr>
        <w:t xml:space="preserve">Table 5.4: Bennu CAD results by injection scenario</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Bennu results follow the same rank ordering as Apophis — systematic bias producing the largest delta, stochastic noise intermediate, and targeted outlier the smallest — confirming the consistency of the injection methodology across both target objects. The absolute delta magnitudes are smaller for Bennu under systematic bias and stochastic noise, which is attributable to Bennu’s greater geocentric distance at the simulation epoch reducing the sensitivity of the orbit determination to small angular perturbations. However, the targeted outlier delta for Bennu (494 km) is notably larger than for Apophis (250 km) despite identical injection parameters. This finding is examined in detail in Section 5.6.</w:t>
      </w:r>
    </w:p>
    <w:p>
      <w:pPr>
        <w:pStyle w:val="Heading2"/>
        <w:spacing w:after="100" w:before="320"/>
      </w:pPr>
      <w:r>
        <w:rPr>
          <w:rFonts w:ascii="Times New Roman" w:cs="Times New Roman" w:eastAsia="Times New Roman" w:hAnsi="Times New Roman"/>
          <w:b/>
          <w:bCs/>
          <w:color w:val="1F3864"/>
          <w:sz w:val="26"/>
          <w:szCs w:val="26"/>
        </w:rPr>
        <w:t xml:space="preserve">5.5 MCDA Risk Scoring</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 Multi-Criteria Decision Analysis (MCDA) framework was applied to synthesise the experimental findings into structured risk scores for each of the six injection scenarios. Five criteria were evaluated: Likelihood (L), Vulnerability (V), Attack Surface (A), Impact (I), and Consequence (C). Each criterion was scored on a normalised scale of 1–10 by the researcher based on the experimental evidence, the relevant literature, and domain knowledge. Criteria weights were set as follows: L=0.15, V=0.20, A=0.15, I=0.30, C=0.20. The Impact (I) criterion was assigned the highest weight to reflect the existential asymmetry of planetary defense failures, consistent with the weighting rationale established in the research proposal. The composite Risk Score (RS) was computed as:</w:t>
      </w:r>
    </w:p>
    <w:p>
      <w:pPr>
        <w:shd w:fill="D6E4F2" w:val="clear"/>
        <w:spacing w:after="100" w:before="100" w:line="360" w:lineRule="auto"/>
        <w:jc w:val="center"/>
      </w:pPr>
      <w:r>
        <w:rPr>
          <w:rFonts w:ascii="Times New Roman" w:cs="Times New Roman" w:eastAsia="Times New Roman" w:hAnsi="Times New Roman"/>
          <w:b/>
          <w:bCs/>
          <w:color w:val="1F3864"/>
          <w:sz w:val="24"/>
          <w:szCs w:val="24"/>
        </w:rPr>
        <w:t xml:space="preserve">RS = (0.15×L + 0.20×V + 0.15×A + 0.30×I + 0.20×C) × 10</w:t>
      </w:r>
    </w:p>
    <w:p>
      <w:pPr>
        <w:spacing w:after="60" w:before="0"/>
      </w:pPr>
      <w:r>
        <w:t xml:space="preserve"/>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 composite Risk Score exceeding 7.0 is designated HIGH risk, 5.0–6.9 MEDIUM risk, and below 5.0 LOW risk. Table 5.5 presents the full MCDA risk scoring matrix for all six scenarios.</w:t>
      </w:r>
    </w:p>
    <w:p>
      <w:pPr>
        <w:spacing w:after="80" w:before="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560"/>
        <w:gridCol w:w="560"/>
        <w:gridCol w:w="560"/>
        <w:gridCol w:w="560"/>
        <w:gridCol w:w="560"/>
        <w:gridCol w:w="700"/>
        <w:gridCol w:w="1160"/>
      </w:tblGrid>
      <w:tr>
        <w:trPr>
          <w:tblHeader/>
        </w:trPr>
        <w:tc>
          <w:tcPr>
            <w:tcW w:type="dxa" w:w="12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Object</w:t>
            </w:r>
          </w:p>
        </w:tc>
        <w:tc>
          <w:tcPr>
            <w:tcW w:type="dxa" w:w="19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Archetype</w:t>
            </w:r>
          </w:p>
        </w:tc>
        <w:tc>
          <w:tcPr>
            <w:tcW w:type="dxa" w:w="56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L</w:t>
            </w:r>
          </w:p>
        </w:tc>
        <w:tc>
          <w:tcPr>
            <w:tcW w:type="dxa" w:w="56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V</w:t>
            </w:r>
          </w:p>
        </w:tc>
        <w:tc>
          <w:tcPr>
            <w:tcW w:type="dxa" w:w="56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A</w:t>
            </w:r>
          </w:p>
        </w:tc>
        <w:tc>
          <w:tcPr>
            <w:tcW w:type="dxa" w:w="56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I</w:t>
            </w:r>
          </w:p>
        </w:tc>
        <w:tc>
          <w:tcPr>
            <w:tcW w:type="dxa" w:w="56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C</w:t>
            </w:r>
          </w:p>
        </w:tc>
        <w:tc>
          <w:tcPr>
            <w:tcW w:type="dxa" w:w="70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RS</w:t>
            </w:r>
          </w:p>
        </w:tc>
        <w:tc>
          <w:tcPr>
            <w:tcW w:type="dxa" w:w="1160"/>
            <w:tcBorders>
              <w:top w:val="single" w:color="BBCFDF" w:sz="2"/>
              <w:left w:val="single" w:color="BBCFDF" w:sz="2"/>
              <w:bottom w:val="single" w:color="BBCFDF" w:sz="2"/>
              <w:right w:val="single" w:color="BBCFDF" w:sz="2"/>
            </w:tcBorders>
            <w:shd w:fill="1F3864" w:val="clear"/>
            <w:tcMar>
              <w:top w:type="dxa" w:w="80"/>
              <w:left w:type="dxa" w:w="120"/>
              <w:bottom w:type="dxa" w:w="80"/>
              <w:right w:type="dxa" w:w="120"/>
            </w:tcMar>
            <w:vAlign w:val="center"/>
          </w:tcPr>
          <w:p>
            <w:pPr>
              <w:spacing w:after="20" w:before="20"/>
              <w:jc w:val="center"/>
            </w:pPr>
            <w:r>
              <w:rPr>
                <w:rFonts w:ascii="Times New Roman" w:cs="Times New Roman" w:eastAsia="Times New Roman" w:hAnsi="Times New Roman"/>
                <w:b/>
                <w:bCs/>
                <w:color w:val="FFFFFF"/>
                <w:sz w:val="20"/>
                <w:szCs w:val="20"/>
              </w:rPr>
              <w:t xml:space="preserve">Rating</w:t>
            </w:r>
          </w:p>
        </w:tc>
      </w:tr>
      <w:tr>
        <w:tc>
          <w:tcPr>
            <w:tcW w:type="dxa" w:w="1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Apophis</w:t>
            </w:r>
          </w:p>
        </w:tc>
        <w:tc>
          <w:tcPr>
            <w:tcW w:type="dxa" w:w="19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Systematic Bias</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8</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9</w:t>
            </w:r>
          </w:p>
        </w:tc>
        <w:tc>
          <w:tcPr>
            <w:tcW w:type="dxa" w:w="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7.45</w:t>
            </w:r>
          </w:p>
        </w:tc>
        <w:tc>
          <w:tcPr>
            <w:tcW w:type="dxa" w:w="11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HIGH</w:t>
            </w:r>
          </w:p>
        </w:tc>
      </w:tr>
      <w:tr>
        <w:tc>
          <w:tcPr>
            <w:tcW w:type="dxa" w:w="1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Apophis</w:t>
            </w:r>
          </w:p>
        </w:tc>
        <w:tc>
          <w:tcPr>
            <w:tcW w:type="dxa" w:w="19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Stochastic Noise</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4</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6.55</w:t>
            </w:r>
          </w:p>
        </w:tc>
        <w:tc>
          <w:tcPr>
            <w:tcW w:type="dxa" w:w="11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MEDIUM</w:t>
            </w:r>
          </w:p>
        </w:tc>
      </w:tr>
      <w:tr>
        <w:tc>
          <w:tcPr>
            <w:tcW w:type="dxa" w:w="1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Apophis</w:t>
            </w:r>
          </w:p>
        </w:tc>
        <w:tc>
          <w:tcPr>
            <w:tcW w:type="dxa" w:w="19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Targeted Outlier</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9</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5</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8</w:t>
            </w:r>
          </w:p>
        </w:tc>
        <w:tc>
          <w:tcPr>
            <w:tcW w:type="dxa" w:w="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6.35</w:t>
            </w:r>
          </w:p>
        </w:tc>
        <w:tc>
          <w:tcPr>
            <w:tcW w:type="dxa" w:w="11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MEDIUM</w:t>
            </w:r>
          </w:p>
        </w:tc>
      </w:tr>
      <w:tr>
        <w:tc>
          <w:tcPr>
            <w:tcW w:type="dxa" w:w="1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Bennu</w:t>
            </w:r>
          </w:p>
        </w:tc>
        <w:tc>
          <w:tcPr>
            <w:tcW w:type="dxa" w:w="19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Systematic Bias</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3</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8</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8</w:t>
            </w:r>
          </w:p>
        </w:tc>
        <w:tc>
          <w:tcPr>
            <w:tcW w:type="dxa" w:w="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7.10</w:t>
            </w:r>
          </w:p>
        </w:tc>
        <w:tc>
          <w:tcPr>
            <w:tcW w:type="dxa" w:w="11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HIGH</w:t>
            </w:r>
          </w:p>
        </w:tc>
      </w:tr>
      <w:tr>
        <w:tc>
          <w:tcPr>
            <w:tcW w:type="dxa" w:w="12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Bennu</w:t>
            </w:r>
          </w:p>
        </w:tc>
        <w:tc>
          <w:tcPr>
            <w:tcW w:type="dxa" w:w="19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Stochastic Noise</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4</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w:t>
            </w:r>
          </w:p>
        </w:tc>
        <w:tc>
          <w:tcPr>
            <w:tcW w:type="dxa" w:w="5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70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6.50</w:t>
            </w:r>
          </w:p>
        </w:tc>
        <w:tc>
          <w:tcPr>
            <w:tcW w:type="dxa" w:w="1160"/>
            <w:tcBorders>
              <w:top w:val="single" w:color="BBCFDF" w:sz="2"/>
              <w:left w:val="single" w:color="BBCFDF" w:sz="2"/>
              <w:bottom w:val="single" w:color="BBCFDF" w:sz="2"/>
              <w:right w:val="single" w:color="BBCFDF" w:sz="2"/>
            </w:tcBorders>
            <w:shd w:fill="FFFFFF"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MEDIUM</w:t>
            </w:r>
          </w:p>
        </w:tc>
      </w:tr>
      <w:tr>
        <w:tc>
          <w:tcPr>
            <w:tcW w:type="dxa" w:w="12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Bennu</w:t>
            </w:r>
          </w:p>
        </w:tc>
        <w:tc>
          <w:tcPr>
            <w:tcW w:type="dxa" w:w="19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Targeted Outlier</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2</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9</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6</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w:t>
            </w:r>
          </w:p>
        </w:tc>
        <w:tc>
          <w:tcPr>
            <w:tcW w:type="dxa" w:w="5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9</w:t>
            </w:r>
          </w:p>
        </w:tc>
        <w:tc>
          <w:tcPr>
            <w:tcW w:type="dxa" w:w="70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7.05</w:t>
            </w:r>
          </w:p>
        </w:tc>
        <w:tc>
          <w:tcPr>
            <w:tcW w:type="dxa" w:w="1160"/>
            <w:tcBorders>
              <w:top w:val="single" w:color="BBCFDF" w:sz="2"/>
              <w:left w:val="single" w:color="BBCFDF" w:sz="2"/>
              <w:bottom w:val="single" w:color="BBCFDF" w:sz="2"/>
              <w:right w:val="single" w:color="BBCFDF" w:sz="2"/>
            </w:tcBorders>
            <w:shd w:fill="F2F5F9" w:val="clear"/>
            <w:tcMar>
              <w:top w:type="dxa" w:w="70"/>
              <w:left w:type="dxa" w:w="120"/>
              <w:bottom w:type="dxa" w:w="70"/>
              <w:right w:type="dxa" w:w="120"/>
            </w:tcMar>
            <w:vAlign w:val="center"/>
          </w:tcPr>
          <w:p>
            <w:pPr>
              <w:spacing w:after="20" w:before="20"/>
              <w:jc w:val="center"/>
            </w:pPr>
            <w:r>
              <w:rPr>
                <w:rFonts w:ascii="Times New Roman" w:cs="Times New Roman" w:eastAsia="Times New Roman" w:hAnsi="Times New Roman"/>
                <w:color w:val="1A1A1A"/>
                <w:sz w:val="20"/>
                <w:szCs w:val="20"/>
              </w:rPr>
              <w:t xml:space="preserve">HIGH</w:t>
            </w:r>
          </w:p>
        </w:tc>
      </w:tr>
    </w:tbl>
    <w:p>
      <w:pPr>
        <w:spacing w:after="160" w:before="40"/>
        <w:jc w:val="center"/>
      </w:pPr>
      <w:r>
        <w:rPr>
          <w:rFonts w:ascii="Times New Roman" w:cs="Times New Roman" w:eastAsia="Times New Roman" w:hAnsi="Times New Roman"/>
          <w:i/>
          <w:iCs/>
          <w:color w:val="595959"/>
          <w:sz w:val="20"/>
          <w:szCs w:val="20"/>
        </w:rPr>
        <w:t xml:space="preserve">Table 5.5: MCDA risk scoring matrix (L=Likelihood, V=Vulnerability, A=Attack Surface, I=Impact, C=Consequence)</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Three of the six scenarios are classified HIGH risk: Apophis Systematic Bias (RS=7.45), Bennu Systematic Bias (RS=7.10), and Bennu Targeted Outlier (RS=7.05). The Bennu Targeted Outlier scenario achieving a HIGH risk classification despite producing a modest absolute CAD delta reflects its high Vulnerability score (V=9), attributable to the sparse observation record making individual corrupted observations disproportionately influential, and its high Consequence score (C=9), reflecting the difficulty of retrospectively detecting and correcting a stealthy targeted attack.</w:t>
      </w:r>
    </w:p>
    <w:p>
      <w:pPr>
        <w:pStyle w:val="Heading2"/>
        <w:spacing w:after="100" w:before="320"/>
      </w:pPr>
      <w:r>
        <w:rPr>
          <w:rFonts w:ascii="Times New Roman" w:cs="Times New Roman" w:eastAsia="Times New Roman" w:hAnsi="Times New Roman"/>
          <w:b/>
          <w:bCs/>
          <w:color w:val="1F3864"/>
          <w:sz w:val="26"/>
          <w:szCs w:val="26"/>
        </w:rPr>
        <w:t xml:space="preserve">5.6 Cross-Object Analysis and Novel Findings</w:t>
      </w:r>
    </w:p>
    <w:p>
      <w:pPr>
        <w:pStyle w:val="Heading3"/>
        <w:spacing w:after="80" w:before="220"/>
      </w:pPr>
      <w:r>
        <w:rPr>
          <w:rFonts w:ascii="Times New Roman" w:cs="Times New Roman" w:eastAsia="Times New Roman" w:hAnsi="Times New Roman"/>
          <w:b/>
          <w:bCs/>
          <w:i/>
          <w:iCs/>
          <w:color w:val="2E75B6"/>
          <w:sz w:val="24"/>
          <w:szCs w:val="24"/>
        </w:rPr>
        <w:t xml:space="preserve">5.6.1 Observation Density as a Security Variable</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most significant finding emerging from the cross-object comparison is the inverse relationship between observation density and vulnerability to targeted outlier injection. Apophis, with 9,337 observations, produced a targeted outlier CAD delta of 250 km when 20 observations were corrupted (0.21% of the dataset). Bennu, with 603 observations, produced a targeted outlier CAD delta of 494 km under identical injection parameters — a delta approximately twice as large, arising from the corrupted observations representing 3.32% of Bennu’s dataset.</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This finding suggests that observation density functions as a latent security variable in NEO astrometric pipelines: objects with smaller observation corpora are disproportionately vulnerable to precision targeted injection attacks. This has direct policy implications. Objects that are difficult to observe — due to unfavourable orbital geometry, small apparent size, or limited global telescope coverage — may accumulate sparse tracklet records that are intrinsically more susceptible to data integrity attacks than well-characterised objects such as Apophis. This vulnerability is structurally invisible under current MPC data quality frameworks, which assess observation quality independently rather than evaluating the robustness of the collective dataset to adversarial manipulation.</w:t>
      </w:r>
    </w:p>
    <w:p>
      <w:pPr>
        <w:pStyle w:val="Heading3"/>
        <w:spacing w:after="80" w:before="220"/>
      </w:pPr>
      <w:r>
        <w:rPr>
          <w:rFonts w:ascii="Times New Roman" w:cs="Times New Roman" w:eastAsia="Times New Roman" w:hAnsi="Times New Roman"/>
          <w:b/>
          <w:bCs/>
          <w:i/>
          <w:iCs/>
          <w:color w:val="2E75B6"/>
          <w:sz w:val="24"/>
          <w:szCs w:val="24"/>
        </w:rPr>
        <w:t xml:space="preserve">5.6.2 Sub-threshold Attack Stealthiness</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 secondary cross-cutting finding concerns the stealthiness of the targeted outlier archetype. Across both objects, the mean RA shift produced by the targeted outlier injection falls well below the MPC’s nominal quality filter threshold (2–5 arcseconds): 0.064 arcseconds for Apophis and 0.995 arcseconds for Bennu. Despite this sub-threshold mean perturbation, both scenarios produced measurable CAD deltas of 250 km and 494 km respectively. This demonstrates that an adversary capable of corrupting a small number of strategically selected, high-leverage observations — such as those near perihelion passages or close approach epochs — could produce orbital prediction errors of operational significance while remaining statistically invisible to routine quality screening.</w:t>
      </w:r>
    </w:p>
    <w:p>
      <w:pPr>
        <w:pStyle w:val="Heading3"/>
        <w:spacing w:after="80" w:before="220"/>
      </w:pPr>
      <w:r>
        <w:rPr>
          <w:rFonts w:ascii="Times New Roman" w:cs="Times New Roman" w:eastAsia="Times New Roman" w:hAnsi="Times New Roman"/>
          <w:b/>
          <w:bCs/>
          <w:i/>
          <w:iCs/>
          <w:color w:val="2E75B6"/>
          <w:sz w:val="24"/>
          <w:szCs w:val="24"/>
        </w:rPr>
        <w:t xml:space="preserve">5.6.3 Summary of Findings</w:t>
      </w:r>
    </w:p>
    <w:p>
      <w:pPr>
        <w:spacing w:after="14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Three principal findings are identified from the experimental results:</w:t>
      </w:r>
    </w:p>
    <w:p>
      <w:pPr>
        <w:pStyle w:val="ListParagraph"/>
        <w:numPr>
          <w:ilvl w:val="0"/>
          <w:numId w:val="2"/>
        </w:numPr>
        <w:spacing w:after="60" w:before="60" w:line="360" w:lineRule="auto"/>
      </w:pPr>
      <w:r>
        <w:rPr>
          <w:rFonts w:ascii="Times New Roman" w:cs="Times New Roman" w:eastAsia="Times New Roman" w:hAnsi="Times New Roman"/>
          <w:color w:val="1A1A1A"/>
          <w:sz w:val="24"/>
          <w:szCs w:val="24"/>
        </w:rPr>
        <w:t xml:space="preserve">Adversarial injection of ADES-formatted astrometric data produces measurable and operationally significant orbital prediction errors across all three tested archetypes, with CAD deltas ranging from 250 km to 5,088 km for Apophis and 494 km to 3,335 km for Bennu.</w:t>
      </w:r>
    </w:p>
    <w:p>
      <w:pPr>
        <w:pStyle w:val="ListParagraph"/>
        <w:numPr>
          <w:ilvl w:val="0"/>
          <w:numId w:val="2"/>
        </w:numPr>
        <w:spacing w:after="60" w:before="60" w:line="360" w:lineRule="auto"/>
      </w:pPr>
      <w:r>
        <w:rPr>
          <w:rFonts w:ascii="Times New Roman" w:cs="Times New Roman" w:eastAsia="Times New Roman" w:hAnsi="Times New Roman"/>
          <w:color w:val="1A1A1A"/>
          <w:sz w:val="24"/>
          <w:szCs w:val="24"/>
        </w:rPr>
        <w:t xml:space="preserve">Observation density is a previously uncharacterised security variable in NEO tracking pipelines: objects with sparse observation records are disproportionately vulnerable to targeted precision injection attacks, as demonstrated by Bennu’s 494 km targeted outlier delta compared to Apophis’s 250 km under identical injection parameters.</w:t>
      </w:r>
    </w:p>
    <w:p>
      <w:pPr>
        <w:pStyle w:val="ListParagraph"/>
        <w:numPr>
          <w:ilvl w:val="0"/>
          <w:numId w:val="2"/>
        </w:numPr>
        <w:spacing w:after="60" w:before="60" w:line="360" w:lineRule="auto"/>
      </w:pPr>
      <w:r>
        <w:rPr>
          <w:rFonts w:ascii="Times New Roman" w:cs="Times New Roman" w:eastAsia="Times New Roman" w:hAnsi="Times New Roman"/>
          <w:color w:val="1A1A1A"/>
          <w:sz w:val="24"/>
          <w:szCs w:val="24"/>
        </w:rPr>
        <w:t xml:space="preserve">Sub-threshold targeted injection — corrupting a small number of high-leverage observations at magnitudes below MPC quality filter thresholds — produces orbital prediction errors that are both operationally significant and statistically difficult to detect under current data quality frameworks.</w:t>
      </w:r>
    </w:p>
    <w:p>
      <w:pPr>
        <w:spacing w:after="120" w:before="0"/>
      </w:pPr>
      <w:r>
        <w:t xml:space="preserve"/>
      </w:r>
    </w:p>
    <w:p>
      <w:pPr>
        <w:spacing w:after="140" w:before="60" w:line="360" w:lineRule="auto"/>
        <w:jc w:val="both"/>
      </w:pPr>
      <w:r>
        <w:rPr>
          <w:rFonts w:ascii="Times New Roman" w:cs="Times New Roman" w:eastAsia="Times New Roman" w:hAnsi="Times New Roman"/>
          <w:b w:val="false"/>
          <w:bCs w:val="false"/>
          <w:i/>
          <w:iCs/>
          <w:color w:val="1A1A1A"/>
          <w:sz w:val="24"/>
          <w:szCs w:val="24"/>
        </w:rPr>
        <w:t xml:space="preserve">These findings collectively establish the empirical foundation for the discussion of integrity assurance mechanisms and policy implications presented in Chapter 6.</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60"/>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Times New Roman" w:cs="Times New Roman" w:eastAsia="Times New Roman" w:hAnsi="Times New Roman"/>
        <w:color w:val="2E75B6"/>
        <w:sz w:val="18"/>
        <w:szCs w:val="18"/>
      </w:rPr>
      <w:t xml:space="preserve">Chapter 5: Results and Analysis  |  Nithin Yadav Gopinath (C5003001)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2026-07-05T11:56:31.891Z</dcterms:created>
  <dcterms:modified xsi:type="dcterms:W3CDTF">2026-07-05T11:56:31.891Z</dcterms:modified>
</cp:coreProperties>
</file>

<file path=docProps/custom.xml><?xml version="1.0" encoding="utf-8"?>
<Properties xmlns="http://schemas.openxmlformats.org/officeDocument/2006/custom-properties" xmlns:vt="http://schemas.openxmlformats.org/officeDocument/2006/docPropsVTypes"/>
</file>