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3B8A2" w14:textId="25C77233" w:rsidR="00BF505B" w:rsidRPr="00BF505B" w:rsidRDefault="00BF505B" w:rsidP="00BF505B">
      <w:pPr>
        <w:rPr>
          <w:rFonts w:eastAsia="Arial" w:cstheme="minorHAnsi"/>
          <w:b/>
          <w:bCs/>
          <w:sz w:val="28"/>
          <w:szCs w:val="28"/>
        </w:rPr>
      </w:pPr>
    </w:p>
    <w:p w14:paraId="6D70A6EB" w14:textId="77777777" w:rsidR="00BF505B" w:rsidRDefault="00BF505B" w:rsidP="00BF505B">
      <w:pPr>
        <w:pStyle w:val="Title"/>
        <w:pBdr>
          <w:bottom w:val="single" w:sz="8" w:space="1" w:color="000000" w:themeColor="text1"/>
        </w:pBdr>
        <w:rPr>
          <w:rFonts w:eastAsia="Arial"/>
          <w:b/>
          <w:bCs/>
        </w:rPr>
      </w:pPr>
    </w:p>
    <w:p w14:paraId="12C34D54" w14:textId="77777777" w:rsidR="00BF505B" w:rsidRDefault="00BF505B" w:rsidP="00BF505B">
      <w:pPr>
        <w:pStyle w:val="Title"/>
        <w:pBdr>
          <w:bottom w:val="single" w:sz="8" w:space="1" w:color="000000" w:themeColor="text1"/>
        </w:pBdr>
        <w:rPr>
          <w:rFonts w:eastAsia="Arial"/>
          <w:b/>
          <w:bCs/>
        </w:rPr>
      </w:pPr>
    </w:p>
    <w:p w14:paraId="199352EA" w14:textId="77777777" w:rsidR="00BF505B" w:rsidRDefault="00BF505B" w:rsidP="00BF505B">
      <w:pPr>
        <w:pStyle w:val="Title"/>
        <w:pBdr>
          <w:bottom w:val="single" w:sz="8" w:space="1" w:color="000000" w:themeColor="text1"/>
        </w:pBdr>
        <w:rPr>
          <w:rFonts w:eastAsia="Arial"/>
          <w:b/>
          <w:bCs/>
        </w:rPr>
      </w:pPr>
    </w:p>
    <w:p w14:paraId="1AE0848A" w14:textId="77777777" w:rsidR="00BF505B" w:rsidRDefault="00BF505B" w:rsidP="00BF505B">
      <w:pPr>
        <w:pStyle w:val="Title"/>
        <w:pBdr>
          <w:bottom w:val="single" w:sz="8" w:space="1" w:color="000000" w:themeColor="text1"/>
        </w:pBdr>
        <w:rPr>
          <w:rFonts w:eastAsia="Arial"/>
          <w:b/>
          <w:bCs/>
        </w:rPr>
      </w:pPr>
    </w:p>
    <w:p w14:paraId="41D379F1" w14:textId="77777777" w:rsidR="00BF505B" w:rsidRDefault="00BF505B" w:rsidP="00BF505B">
      <w:pPr>
        <w:pStyle w:val="Title"/>
        <w:pBdr>
          <w:bottom w:val="single" w:sz="8" w:space="1" w:color="000000" w:themeColor="text1"/>
        </w:pBdr>
        <w:rPr>
          <w:rFonts w:eastAsia="Arial"/>
          <w:b/>
          <w:bCs/>
        </w:rPr>
      </w:pPr>
    </w:p>
    <w:p w14:paraId="53DDCD4E" w14:textId="77777777" w:rsidR="00BF505B" w:rsidRDefault="00BF505B" w:rsidP="00BF505B">
      <w:pPr>
        <w:pStyle w:val="Title"/>
        <w:pBdr>
          <w:bottom w:val="single" w:sz="8" w:space="1" w:color="000000" w:themeColor="text1"/>
        </w:pBdr>
        <w:rPr>
          <w:rFonts w:eastAsia="Arial"/>
          <w:b/>
          <w:bCs/>
        </w:rPr>
      </w:pPr>
    </w:p>
    <w:p w14:paraId="148E63FD" w14:textId="68F9D7EF" w:rsidR="00BF505B" w:rsidRPr="003218DE" w:rsidRDefault="00BF505B" w:rsidP="00BF505B">
      <w:pPr>
        <w:pStyle w:val="Title"/>
        <w:pBdr>
          <w:bottom w:val="single" w:sz="8" w:space="1" w:color="000000" w:themeColor="text1"/>
        </w:pBdr>
        <w:rPr>
          <w:rFonts w:eastAsia="Arial"/>
          <w:b/>
          <w:bCs/>
        </w:rPr>
      </w:pPr>
      <w:r w:rsidRPr="003218DE">
        <w:rPr>
          <w:rFonts w:eastAsia="Arial"/>
          <w:b/>
          <w:bCs/>
        </w:rPr>
        <w:t xml:space="preserve">Integrity Assurance in Planetary Defense: </w:t>
      </w:r>
    </w:p>
    <w:p w14:paraId="359EABEA" w14:textId="77777777" w:rsidR="00BF505B" w:rsidRPr="00CA456B" w:rsidRDefault="00BF505B" w:rsidP="00BF505B">
      <w:pPr>
        <w:pStyle w:val="Title"/>
        <w:pBdr>
          <w:bottom w:val="single" w:sz="8" w:space="1" w:color="000000" w:themeColor="text1"/>
        </w:pBdr>
        <w:jc w:val="both"/>
        <w:rPr>
          <w:b/>
          <w:bCs/>
          <w:sz w:val="28"/>
          <w:szCs w:val="28"/>
        </w:rPr>
      </w:pPr>
      <w:r>
        <w:rPr>
          <w:rFonts w:eastAsia="Arial"/>
          <w:b/>
          <w:bCs/>
          <w:sz w:val="28"/>
          <w:szCs w:val="28"/>
        </w:rPr>
        <w:t>An Experimental Cybersecurity Framework for Near-Earth Object (NEO) Tracking Pipelines</w:t>
      </w:r>
    </w:p>
    <w:p w14:paraId="23360308" w14:textId="77777777" w:rsidR="00BF505B" w:rsidRDefault="00BF505B" w:rsidP="00BF505B">
      <w:pPr>
        <w:rPr>
          <w:rFonts w:cstheme="minorHAnsi"/>
          <w:b/>
          <w:bCs/>
          <w:sz w:val="32"/>
          <w:szCs w:val="32"/>
        </w:rPr>
      </w:pPr>
    </w:p>
    <w:p w14:paraId="6A1F0745" w14:textId="77777777" w:rsidR="00BF505B" w:rsidRDefault="00BF505B" w:rsidP="00BF505B">
      <w:pPr>
        <w:rPr>
          <w:rFonts w:cstheme="minorHAnsi"/>
          <w:b/>
          <w:bCs/>
          <w:sz w:val="32"/>
          <w:szCs w:val="32"/>
        </w:rPr>
      </w:pPr>
    </w:p>
    <w:p w14:paraId="4366D934" w14:textId="77777777" w:rsidR="00BF505B" w:rsidRDefault="00BF505B" w:rsidP="00BF505B">
      <w:pPr>
        <w:rPr>
          <w:rFonts w:cstheme="minorHAnsi"/>
          <w:b/>
          <w:bCs/>
          <w:sz w:val="32"/>
          <w:szCs w:val="32"/>
        </w:rPr>
      </w:pPr>
    </w:p>
    <w:p w14:paraId="5BA77263" w14:textId="77777777" w:rsidR="00BF505B" w:rsidRDefault="00BF505B" w:rsidP="00BF505B">
      <w:pPr>
        <w:rPr>
          <w:rFonts w:cstheme="minorHAnsi"/>
          <w:b/>
          <w:bCs/>
          <w:sz w:val="32"/>
          <w:szCs w:val="32"/>
        </w:rPr>
      </w:pPr>
    </w:p>
    <w:p w14:paraId="41DC1948" w14:textId="77777777" w:rsidR="00BF505B" w:rsidRDefault="00BF505B" w:rsidP="00BF505B">
      <w:pPr>
        <w:rPr>
          <w:rFonts w:cstheme="minorHAnsi"/>
          <w:b/>
          <w:bCs/>
          <w:sz w:val="32"/>
          <w:szCs w:val="32"/>
        </w:rPr>
      </w:pPr>
    </w:p>
    <w:p w14:paraId="33C2A66A" w14:textId="77777777" w:rsidR="00BF505B" w:rsidRDefault="00BF505B" w:rsidP="00BF505B">
      <w:pPr>
        <w:rPr>
          <w:rFonts w:cstheme="minorHAnsi"/>
          <w:b/>
          <w:bCs/>
          <w:sz w:val="32"/>
          <w:szCs w:val="32"/>
        </w:rPr>
      </w:pPr>
    </w:p>
    <w:p w14:paraId="4D770062" w14:textId="77777777" w:rsidR="00BF505B" w:rsidRDefault="00BF505B" w:rsidP="00BF505B">
      <w:pPr>
        <w:rPr>
          <w:rFonts w:cstheme="minorHAnsi"/>
          <w:b/>
          <w:bCs/>
          <w:sz w:val="32"/>
          <w:szCs w:val="32"/>
        </w:rPr>
      </w:pPr>
    </w:p>
    <w:p w14:paraId="69567B34" w14:textId="77777777" w:rsidR="00BF505B" w:rsidRPr="00CF5FA6" w:rsidRDefault="00BF505B" w:rsidP="00BF505B"/>
    <w:p w14:paraId="1B130836" w14:textId="4F97E4A0" w:rsidR="00BF505B" w:rsidRPr="00BF505B" w:rsidRDefault="00BF505B" w:rsidP="00BF505B">
      <w:pPr>
        <w:spacing w:after="40"/>
        <w:rPr>
          <w:rFonts w:eastAsia="Arial" w:cstheme="minorHAnsi"/>
          <w:b/>
          <w:bCs/>
        </w:rPr>
      </w:pPr>
      <w:r w:rsidRPr="00C87154">
        <w:rPr>
          <w:rFonts w:eastAsia="Arial" w:cstheme="minorHAnsi"/>
        </w:rPr>
        <w:t xml:space="preserve">Module: </w:t>
      </w:r>
      <w:r w:rsidRPr="00BF505B">
        <w:rPr>
          <w:rFonts w:eastAsia="Arial" w:cstheme="minorHAnsi"/>
          <w:b/>
          <w:bCs/>
        </w:rPr>
        <w:t>DISSERTATION FOR CYBER SECURITY AND COMPUTER NETWORKS (TRI3 AF-2025/6)</w:t>
      </w:r>
    </w:p>
    <w:p w14:paraId="564B4C5F" w14:textId="14A338E6" w:rsidR="00BF505B" w:rsidRPr="00DF08DE" w:rsidRDefault="00BF505B" w:rsidP="00BF505B">
      <w:pPr>
        <w:spacing w:after="40"/>
        <w:rPr>
          <w:rFonts w:cstheme="minorHAnsi"/>
          <w:b/>
          <w:bCs/>
        </w:rPr>
      </w:pPr>
      <w:r w:rsidRPr="00C87154">
        <w:rPr>
          <w:rFonts w:eastAsia="Arial" w:cstheme="minorHAnsi"/>
        </w:rPr>
        <w:t>Module</w:t>
      </w:r>
      <w:r>
        <w:rPr>
          <w:rFonts w:eastAsia="Arial" w:cstheme="minorHAnsi"/>
        </w:rPr>
        <w:t xml:space="preserve"> No</w:t>
      </w:r>
      <w:r w:rsidRPr="00C87154">
        <w:rPr>
          <w:rFonts w:eastAsia="Arial" w:cstheme="minorHAnsi"/>
        </w:rPr>
        <w:t>:</w:t>
      </w:r>
      <w:r>
        <w:rPr>
          <w:rFonts w:eastAsia="Arial" w:cstheme="minorHAnsi"/>
        </w:rPr>
        <w:t xml:space="preserve"> </w:t>
      </w:r>
      <w:r w:rsidRPr="00BF505B">
        <w:rPr>
          <w:rFonts w:eastAsia="Arial" w:cstheme="minorHAnsi"/>
          <w:b/>
          <w:bCs/>
        </w:rPr>
        <w:t xml:space="preserve">55-710263-AF-20256                                                               </w:t>
      </w:r>
    </w:p>
    <w:p w14:paraId="21BDAC49" w14:textId="77777777" w:rsidR="00BF505B" w:rsidRPr="00C87154" w:rsidRDefault="00BF505B" w:rsidP="00BF505B">
      <w:pPr>
        <w:spacing w:after="40"/>
        <w:rPr>
          <w:rFonts w:cstheme="minorHAnsi"/>
        </w:rPr>
      </w:pPr>
      <w:r w:rsidRPr="000F0377">
        <w:rPr>
          <w:rFonts w:eastAsia="Arial" w:cstheme="minorHAnsi"/>
        </w:rPr>
        <w:t xml:space="preserve">Name of </w:t>
      </w:r>
      <w:r>
        <w:rPr>
          <w:rFonts w:eastAsia="Arial" w:cstheme="minorHAnsi"/>
        </w:rPr>
        <w:t>S</w:t>
      </w:r>
      <w:r w:rsidRPr="000F0377">
        <w:rPr>
          <w:rFonts w:eastAsia="Arial" w:cstheme="minorHAnsi"/>
        </w:rPr>
        <w:t>upervisor</w:t>
      </w:r>
      <w:r>
        <w:rPr>
          <w:rFonts w:eastAsia="Arial" w:cstheme="minorHAnsi"/>
        </w:rPr>
        <w:t xml:space="preserve"> </w:t>
      </w:r>
      <w:r w:rsidRPr="00C87154">
        <w:rPr>
          <w:rFonts w:eastAsia="Arial" w:cstheme="minorHAnsi"/>
          <w:b/>
          <w:bCs/>
        </w:rPr>
        <w:t>: Dr Sina Pournouri</w:t>
      </w:r>
      <w:r w:rsidRPr="00C87154">
        <w:rPr>
          <w:rFonts w:eastAsia="Arial" w:cstheme="minorHAnsi"/>
        </w:rPr>
        <w:t xml:space="preserve">  </w:t>
      </w:r>
      <w:r>
        <w:rPr>
          <w:rFonts w:eastAsia="Arial" w:cstheme="minorHAnsi"/>
        </w:rPr>
        <w:br/>
      </w:r>
      <w:r w:rsidRPr="00C87154">
        <w:rPr>
          <w:rFonts w:eastAsia="Arial" w:cstheme="minorHAnsi"/>
        </w:rPr>
        <w:t>Level 7  |  MSc Cybersecurity</w:t>
      </w:r>
      <w:r w:rsidRPr="00C87154">
        <w:rPr>
          <w:rFonts w:eastAsia="Arial" w:cstheme="minorHAnsi"/>
        </w:rPr>
        <w:br/>
      </w:r>
      <w:r w:rsidRPr="00C87154">
        <w:rPr>
          <w:rFonts w:cstheme="minorHAnsi"/>
          <w:b/>
          <w:bCs/>
        </w:rPr>
        <w:t>C5003001 | Nithin Yadav Gopinath</w:t>
      </w:r>
      <w:r w:rsidRPr="00C87154">
        <w:rPr>
          <w:rFonts w:cstheme="minorHAnsi"/>
        </w:rPr>
        <w:t xml:space="preserve">  </w:t>
      </w:r>
    </w:p>
    <w:p w14:paraId="77A7405C" w14:textId="77777777" w:rsidR="00BF505B" w:rsidRDefault="00BF505B" w:rsidP="00BF505B">
      <w:pPr>
        <w:spacing w:after="40"/>
        <w:jc w:val="right"/>
        <w:rPr>
          <w:rFonts w:eastAsia="Arial" w:cstheme="minorHAnsi"/>
        </w:rPr>
      </w:pPr>
    </w:p>
    <w:p w14:paraId="048722D9" w14:textId="54CA8042" w:rsidR="00BF505B" w:rsidRPr="00BF505B" w:rsidRDefault="00BF505B" w:rsidP="00BF505B">
      <w:pPr>
        <w:spacing w:after="40"/>
        <w:jc w:val="right"/>
        <w:rPr>
          <w:rFonts w:cstheme="minorHAnsi"/>
          <w:b/>
          <w:bCs/>
        </w:rPr>
      </w:pPr>
      <w:r w:rsidRPr="00C87154">
        <w:rPr>
          <w:rFonts w:eastAsia="Arial" w:cstheme="minorHAnsi"/>
        </w:rPr>
        <w:t xml:space="preserve">Submission Date: </w:t>
      </w:r>
      <w:r w:rsidRPr="00BF505B">
        <w:rPr>
          <w:rFonts w:eastAsia="Arial" w:cstheme="minorHAnsi"/>
          <w:b/>
          <w:bCs/>
        </w:rPr>
        <w:t>03 Sept</w:t>
      </w:r>
      <w:r w:rsidRPr="00BF505B">
        <w:rPr>
          <w:rFonts w:eastAsia="Arial" w:cstheme="minorHAnsi"/>
          <w:b/>
          <w:bCs/>
        </w:rPr>
        <w:t xml:space="preserve"> 2026 </w:t>
      </w:r>
    </w:p>
    <w:p w14:paraId="4F508665" w14:textId="77777777" w:rsidR="00BF505B" w:rsidRDefault="00BF505B" w:rsidP="00BF505B">
      <w:pPr>
        <w:rPr>
          <w:rFonts w:eastAsia="Arial" w:cstheme="minorHAnsi"/>
          <w:b/>
          <w:bCs/>
          <w:sz w:val="28"/>
          <w:szCs w:val="28"/>
        </w:rPr>
      </w:pPr>
      <w:r>
        <w:br w:type="page"/>
      </w:r>
    </w:p>
    <w:p w14:paraId="59087A9A" w14:textId="77777777" w:rsidR="004B0617" w:rsidRDefault="004B0617">
      <w:pPr>
        <w:rPr>
          <w:rFonts w:eastAsia="Arial" w:cstheme="minorHAnsi"/>
          <w:b/>
          <w:bCs/>
          <w:sz w:val="28"/>
          <w:szCs w:val="28"/>
        </w:rPr>
      </w:pPr>
      <w:r>
        <w:lastRenderedPageBreak/>
        <w:br w:type="page"/>
      </w:r>
    </w:p>
    <w:p w14:paraId="7DFF2624" w14:textId="77777777" w:rsidR="004B0617" w:rsidRDefault="004B0617">
      <w:pPr>
        <w:rPr>
          <w:rFonts w:eastAsia="Arial" w:cstheme="minorHAnsi"/>
          <w:b/>
          <w:bCs/>
          <w:sz w:val="28"/>
          <w:szCs w:val="28"/>
        </w:rPr>
      </w:pPr>
      <w:r>
        <w:lastRenderedPageBreak/>
        <w:br w:type="page"/>
      </w:r>
    </w:p>
    <w:p>
      <w:pPr>
        <w:pStyle w:val="Heading1"/>
      </w:pPr>
      <w:r>
        <w:t>Abstract</w:t>
      </w:r>
    </w:p>
    <w:p>
      <w:pPr>
        <w:jc w:val="both"/>
      </w:pPr>
      <w:r>
        <w:t>Modern planetary defense infrastructure depends on automated, globally distributed data pipelines that aggregate astrometric observations from hundreds of observatories to compute the orbits of Near-Earth Objects (NEOs). The Minor Planet Center (MPC) processes in excess of 50 million such observations annually, transmitted in the Astrometry Data Exchange Standard (ADES) format. While existing space cybersecurity literature addresses satellite communication vulnerabilities extensively, the integrity of this ground-based astrometric data pipeline at the point of data creation remains critically underexplored.</w:t>
      </w:r>
    </w:p>
    <w:p>
      <w:pPr>
        <w:jc w:val="both"/>
      </w:pPr>
      <w:r>
        <w:t>This dissertation investigates the potential consequences of adversarial manipulation of ADES-formatted astrometric data on NEO orbital predictions. A Python-based proof-of-concept adversarial injection module was developed, implementing three distinct attack archetypes — systematic bias, stochastic noise, and targeted outlier injection — and applied to real observational data retrieved from the MPC Observations API for ten Near-Earth Objects, including Apophis, Bennu, Eros, Didymos, and 2012 DA14, spanning a combined 59,053 observations. NASA’s General Mission Analysis Tool (GMAT) was used to propagate both clean and manipulated orbital solutions for each object, quantifying the resulting Close Approach Distance (CAD) delta.</w:t>
      </w:r>
    </w:p>
    <w:p>
      <w:pPr>
        <w:jc w:val="both"/>
      </w:pPr>
      <w:r>
        <w:t>The results demonstrate that adversarial injection at magnitudes plausibly below existing MPC quality filter thresholds produces measurable orbital prediction errors, with CAD deltas ranging from approximately 4 km to 7,198 km across the study set. A key finding is that observation density functions as a previously uncharacterised security variable: objects with sparse observation records, such as 2012 DA14 (1,071 observations) and Bennu (603 observations), exhibit disproportionately larger orbital prediction errors under targeted injection than well-characterised objects such as Eros (17,975 observations), a relationship confirmed by a correlation coefficient of −0.44 across the full study set.</w:t>
      </w:r>
    </w:p>
    <w:p>
      <w:pPr>
        <w:jc w:val="both"/>
      </w:pPr>
      <w:r>
        <w:t>This dissertation contributes the first empirically grounded, simulation-based quantification of adversarial astrometric data manipulation impact on NEO orbital solutions, establishing a reproducible methodological foundation for integrity assurance research within planetary defense data pipelines.</w:t>
      </w:r>
    </w:p>
    <w:p/>
    <w:p>
      <w:pPr/>
      <w:r>
        <w:rPr>
          <w:b/>
        </w:rPr>
        <w:t xml:space="preserve">Keywords: </w:t>
      </w:r>
      <w:r>
        <w:t>Planetary defense; Near-Earth Objects; astrometric data integrity; adversarial data injection; space cybersecurity; ADES; GMAT; orbital mechanics; observation density.</w:t>
      </w:r>
    </w:p>
    <w:p>
      <w:r>
        <w:br w:type="page"/>
      </w:r>
    </w:p>
    <w:p>
      <w:pPr>
        <w:pStyle w:val="Heading1"/>
      </w:pPr>
      <w:r>
        <w:t>Chapter 1: Introduction</w:t>
      </w:r>
    </w:p>
    <w:p>
      <w:pPr>
        <w:pStyle w:val="Heading2"/>
      </w:pPr>
      <w:r>
        <w:t>1.1 Background and Motivation</w:t>
      </w:r>
    </w:p>
    <w:p>
      <w:pPr>
        <w:jc w:val="both"/>
      </w:pPr>
      <w:r>
        <w:t>Contemporary space operations have undergone a fundamental transformation, evolving from closed, government-controlled environments toward highly interconnected, software-defined ecosystems. Modern planetary defense infrastructure — the global effort to detect, track, and characterise Near-Earth Objects (NEOs) — now depends on distributed, automated data pipelines that aggregate astrometric observations from observatories worldwide. Central to this process is the Minor Planet Center (MPC), which processes in excess of 50 million observations annually and serves as the authoritative global repository for NEO orbital data.</w:t>
      </w:r>
    </w:p>
    <w:p>
      <w:pPr>
        <w:jc w:val="both"/>
      </w:pPr>
      <w:r>
        <w:t>Despite the strategic significance of this infrastructure, cybersecurity research within the planetary defense domain remains comparatively limited. Existing space cybersecurity literature primarily addresses satellite communication vulnerabilities, signal interception, command-link protection, and telemetry integrity — rather than the integrity of ground-based astronomical data pipelines. The 2024 Government Accountability Office audit of NASA cybersecurity practices found that spacecraft acquisition policies frequently treat cybersecurity as an optional consideration rather than a core design requirement, revealing a systemic gap in security culture across the broader space domain.</w:t>
      </w:r>
    </w:p>
    <w:p>
      <w:pPr>
        <w:jc w:val="both"/>
      </w:pPr>
      <w:r>
        <w:t>This dissertation is motivated by a specific and underexplored concern: what are the potential consequences of adversarial manipulation targeting the astrometric data that feeds NEO orbit determination systems? Even minor, targeted modifications to observation coordinates — Right Ascension (RA) and Declination (Dec) values — could plausibly influence orbital predictions and close-approach calculations without triggering standard quality filters. This dissertation therefore presents an exploratory, proof-of-concept investigation into integrity assurance mechanisms for NEO tracking pipelines, conducted entirely within simulated and controlled environments using publicly accessible datasets.</w:t>
      </w:r>
    </w:p>
    <w:p>
      <w:pPr>
        <w:pStyle w:val="Heading2"/>
      </w:pPr>
      <w:r>
        <w:t>1.2 Research Question, Aim, and Objectives</w:t>
      </w:r>
    </w:p>
    <w:p>
      <w:pPr>
        <w:pStyle w:val="Heading3"/>
      </w:pPr>
      <w:r>
        <w:t>Research Question</w:t>
      </w:r>
    </w:p>
    <w:p>
      <w:pPr>
        <w:ind w:left="680" w:right="680"/>
        <w:jc w:val="both"/>
      </w:pPr>
      <w:r>
        <w:rPr>
          <w:i/>
        </w:rPr>
        <w:t>How can experimental cybersecurity and integrity assurance mechanisms contribute toward improving resilience within Near-Earth Object tracking data pipelines under simulated adversarial manipulation scenarios?</w:t>
      </w:r>
    </w:p>
    <w:p>
      <w:pPr>
        <w:pStyle w:val="Heading3"/>
      </w:pPr>
      <w:r>
        <w:t>Research Aim</w:t>
      </w:r>
    </w:p>
    <w:p>
      <w:pPr>
        <w:jc w:val="both"/>
      </w:pPr>
      <w:r>
        <w:t>The aim of this dissertation is to design and evaluate an experimental cybersecurity framework capable of detecting and analysing adversarial manipulation within NEO tracking data pipelines, using simulation-based experimentation and publicly accessible orbital datasets.</w:t>
      </w:r>
    </w:p>
    <w:p>
      <w:pPr>
        <w:pStyle w:val="Heading3"/>
      </w:pPr>
      <w:r>
        <w:t>Research Objectives</w:t>
      </w:r>
    </w:p>
    <w:p>
      <w:pPr>
        <w:pStyle w:val="ListParagraph"/>
        <w:jc w:val="both"/>
      </w:pPr>
      <w:r>
        <w:t>Objective 1 — Data Manipulation Framework Development: Develop a Python-based proof-of-concept module capable of introducing controlled adversarial noise into ADES-formatted NEO observational datasets, applied to a study set of ten Near-Earth Objects.</w:t>
      </w:r>
    </w:p>
    <w:p>
      <w:pPr>
        <w:pStyle w:val="ListParagraph"/>
        <w:jc w:val="both"/>
      </w:pPr>
      <w:r>
        <w:t>Objective 2 — Orbital Impact Evaluation: Conduct simulated orbital propagation experiments using the General Mission Analysis Tool (GMAT) to quantify the impact of manipulated astrometric data on orbital predictions and close-approach estimations across the full study set.</w:t>
      </w:r>
    </w:p>
    <w:p>
      <w:pPr>
        <w:pStyle w:val="ListParagraph"/>
        <w:jc w:val="both"/>
      </w:pPr>
      <w:r>
        <w:t>Objective 3 — Theoretical Evaluation of Detection Approaches: Critically evaluate the suitability of machine learning-assisted anomaly detection methods — principally Convolutional Neural Networks (CNNs) — for identifying manipulated orbital signatures within NEO astrometric datasets. This objective is addressed through theoretical analysis and comparative literature review rather than experimental implementation, with full experimental validation identified as a direction for future research.</w:t>
      </w:r>
    </w:p>
    <w:p>
      <w:pPr>
        <w:pStyle w:val="Heading2"/>
      </w:pPr>
      <w:r>
        <w:t>1.3 Expected Contribution</w:t>
      </w:r>
    </w:p>
    <w:p>
      <w:pPr>
        <w:jc w:val="both"/>
      </w:pPr>
      <w:r>
        <w:t>This dissertation contributes to the emerging field of space cybersecurity by delivering two experimentally grounded outputs: a proof-of-concept adversarial data manipulation module for ADES-formatted NEO observations, and a quantitative orbital impact assessment demonstrating the measurable consequences of such manipulation on close-approach calculations across ten Near-Earth Objects. This practical contribution is complemented by a theoretical evaluation of ML-based detection approaches, which establishes a clear agenda for subsequent research. Together, these outputs constitute a reproducible, original proof-of-concept foundation for integrity assurance research within planetary defense data pipelines.</w:t>
      </w:r>
    </w:p>
    <w:p>
      <w:pPr>
        <w:pStyle w:val="Heading2"/>
      </w:pPr>
      <w:r>
        <w:t>1.4 Scope and Delimitations</w:t>
      </w:r>
    </w:p>
    <w:p>
      <w:pPr>
        <w:jc w:val="both"/>
      </w:pPr>
      <w:r>
        <w:t>This dissertation is deliberately scoped as a proof-of-concept investigation. It does not attempt to secure operational planetary defense infrastructure, access classified systems, or produce a production-ready defensive technology. All experimentation is conducted within isolated simulation environments using publicly accessible data sourced from the MPC Observations API and NASA’s JPL Horizons system. The research examines ten Near-Earth Objects selected to represent a spectrum of observation density, orbital characteristics, and public prominence, ranging from extensively tracked objects such as Eros (17,975 observations) to sparsely tracked objects such as Bennu (603 observations) and 2012 DA14 (1,071 observations).</w:t>
      </w:r>
    </w:p>
    <w:p>
      <w:pPr>
        <w:pStyle w:val="Heading2"/>
      </w:pPr>
      <w:r>
        <w:t>1.5 Dissertation Structure</w:t>
      </w:r>
    </w:p>
    <w:p>
      <w:pPr>
        <w:jc w:val="both"/>
      </w:pPr>
      <w:r>
        <w:t>The remainder of this dissertation is structured as follows. Chapter 2 presents a critical review of the literature on space information network vulnerabilities, protocol-layer security, and planetary defense data infrastructure, identifying the specific research gap this dissertation addresses. Chapter 3 details the research methodology, including the justification of the experimental approach and the four-phase research design. Chapter 4 describes the technical implementation of the data manipulation module and orbital propagation pipeline. Chapter 5 presents the experimental results across the full study set of ten NEOs. Chapter 6 discusses the findings in relation to the research question, situates them within the broader space cybersecurity literature, and examines their policy implications. Chapter 7 concludes the dissertation and outlines directions for future research.</w:t>
      </w:r>
    </w:p>
    <w:p>
      <w:r>
        <w:br w:type="page"/>
      </w:r>
    </w:p>
    <w:p>
      <w:pPr>
        <w:pStyle w:val="Heading1"/>
      </w:pPr>
      <w:r>
        <w:t>Chapter 5: Results and Analysis</w:t>
      </w:r>
    </w:p>
    <w:p>
      <w:pPr>
        <w:pStyle w:val="Heading2"/>
      </w:pPr>
      <w:r>
        <w:t>5.1 Chapter Overview</w:t>
      </w:r>
    </w:p>
    <w:p>
      <w:pPr>
        <w:jc w:val="both"/>
      </w:pPr>
      <w:r>
        <w:t>This chapter presents the empirical findings of the two-phase experimental investigation conducted in accordance with Objectives 1 and 2 of this dissertation. Section 5.2 summarises the characteristics of the astrometric observation datasets retrieved for the ten Near-Earth Objects under investigation. Section 5.3 presents the results of the adversarial data injection module across three attack archetypes. Section 5.4 reports the orbital propagation results produced by the General Mission Analysis Tool (GMAT), quantifying the Close Approach Distance (CAD) delta attributable to each injection scenario across all ten objects. Section 5.5 applies the Multi-Criteria Decision Analysis (MCDA) risk scoring framework. Section 5.6 identifies the cross-object findings and novel contributions emerging from the comparative analysis, including the statistical relationship between observation density and vulnerability.</w:t>
      </w:r>
    </w:p>
    <w:p>
      <w:pPr>
        <w:pStyle w:val="Heading2"/>
      </w:pPr>
      <w:r>
        <w:t>5.2 Study Set and Observation Dataset Characteristics</w:t>
      </w:r>
    </w:p>
    <w:p>
      <w:pPr>
        <w:jc w:val="both"/>
      </w:pPr>
      <w:r>
        <w:t>Real astrometric observation data were retrieved for ten Near-Earth Objects directly from the Minor Planet Center (MPC) Observations API in ADES XML format, using a purpose-built Python data collection module. The study set was deliberately selected to represent a spectrum of observation density, public prominence, and orbital characteristics — ranging from extensively catalogued objects such as Eros to sparsely tracked objects such as Bennu and 2012 DA14. Table 5.1 summarises the characteristics of all ten retrieved datasets.</w:t>
      </w:r>
    </w:p>
    <w:p/>
    <w:tbl>
      <w:tblPr>
        <w:tblStyle w:val="TableGrid"/>
        <w:tblW w:type="auto" w:w="0"/>
        <w:jc w:val="center"/>
        <w:tblLook w:firstColumn="1" w:firstRow="1" w:lastColumn="0" w:lastRow="0" w:noHBand="0" w:noVBand="1" w:val="04A0"/>
      </w:tblPr>
      <w:tblGrid>
        <w:gridCol w:w="2693"/>
        <w:gridCol w:w="2693"/>
        <w:gridCol w:w="2693"/>
        <w:gridCol w:w="2693"/>
      </w:tblGrid>
      <w:tr>
        <w:tc>
          <w:tcPr>
            <w:tcW w:type="dxa" w:w="1984"/>
          </w:tcPr>
          <w:p>
            <w:pPr>
              <w:jc w:val="center"/>
            </w:pPr>
            <w:r>
              <w:rPr>
                <w:b/>
                <w:sz w:val="18"/>
              </w:rPr>
              <w:t>Object</w:t>
            </w:r>
          </w:p>
        </w:tc>
        <w:tc>
          <w:tcPr>
            <w:tcW w:type="dxa" w:w="1701"/>
          </w:tcPr>
          <w:p>
            <w:pPr>
              <w:jc w:val="center"/>
            </w:pPr>
            <w:r>
              <w:rPr>
                <w:b/>
                <w:sz w:val="18"/>
              </w:rPr>
              <w:t>Category</w:t>
            </w:r>
          </w:p>
        </w:tc>
        <w:tc>
          <w:tcPr>
            <w:tcW w:type="dxa" w:w="1701"/>
          </w:tcPr>
          <w:p>
            <w:pPr>
              <w:jc w:val="center"/>
            </w:pPr>
            <w:r>
              <w:rPr>
                <w:b/>
                <w:sz w:val="18"/>
              </w:rPr>
              <w:t>Observations</w:t>
            </w:r>
          </w:p>
        </w:tc>
        <w:tc>
          <w:tcPr>
            <w:tcW w:type="dxa" w:w="1984"/>
          </w:tcPr>
          <w:p>
            <w:pPr>
              <w:jc w:val="center"/>
            </w:pPr>
            <w:r>
              <w:rPr>
                <w:b/>
                <w:sz w:val="18"/>
              </w:rPr>
              <w:t>MPC Designation</w:t>
            </w:r>
          </w:p>
        </w:tc>
      </w:tr>
      <w:tr>
        <w:tc>
          <w:tcPr>
            <w:tcW w:type="dxa" w:w="1984"/>
          </w:tcPr>
          <w:p>
            <w:pPr>
              <w:jc w:val="center"/>
            </w:pPr>
            <w:r>
              <w:rPr>
                <w:sz w:val="18"/>
              </w:rPr>
              <w:t>Apophis</w:t>
            </w:r>
          </w:p>
        </w:tc>
        <w:tc>
          <w:tcPr>
            <w:tcW w:type="dxa" w:w="1701"/>
          </w:tcPr>
          <w:p>
            <w:pPr>
              <w:jc w:val="center"/>
            </w:pPr>
            <w:r>
              <w:rPr>
                <w:sz w:val="18"/>
              </w:rPr>
              <w:t>Famous</w:t>
            </w:r>
          </w:p>
        </w:tc>
        <w:tc>
          <w:tcPr>
            <w:tcW w:type="dxa" w:w="1701"/>
          </w:tcPr>
          <w:p>
            <w:pPr>
              <w:jc w:val="center"/>
            </w:pPr>
            <w:r>
              <w:rPr>
                <w:sz w:val="18"/>
              </w:rPr>
              <w:t>9,337</w:t>
            </w:r>
          </w:p>
        </w:tc>
        <w:tc>
          <w:tcPr>
            <w:tcW w:type="dxa" w:w="1984"/>
          </w:tcPr>
          <w:p>
            <w:pPr>
              <w:jc w:val="center"/>
            </w:pPr>
            <w:r>
              <w:rPr>
                <w:sz w:val="18"/>
              </w:rPr>
              <w:t>99942</w:t>
            </w:r>
          </w:p>
        </w:tc>
      </w:tr>
      <w:tr>
        <w:tc>
          <w:tcPr>
            <w:tcW w:type="dxa" w:w="1984"/>
          </w:tcPr>
          <w:p>
            <w:pPr>
              <w:jc w:val="center"/>
            </w:pPr>
            <w:r>
              <w:rPr>
                <w:sz w:val="18"/>
              </w:rPr>
              <w:t>Bennu</w:t>
            </w:r>
          </w:p>
        </w:tc>
        <w:tc>
          <w:tcPr>
            <w:tcW w:type="dxa" w:w="1701"/>
          </w:tcPr>
          <w:p>
            <w:pPr>
              <w:jc w:val="center"/>
            </w:pPr>
            <w:r>
              <w:rPr>
                <w:sz w:val="18"/>
              </w:rPr>
              <w:t>Famous</w:t>
            </w:r>
          </w:p>
        </w:tc>
        <w:tc>
          <w:tcPr>
            <w:tcW w:type="dxa" w:w="1701"/>
          </w:tcPr>
          <w:p>
            <w:pPr>
              <w:jc w:val="center"/>
            </w:pPr>
            <w:r>
              <w:rPr>
                <w:sz w:val="18"/>
              </w:rPr>
              <w:t>603</w:t>
            </w:r>
          </w:p>
        </w:tc>
        <w:tc>
          <w:tcPr>
            <w:tcW w:type="dxa" w:w="1984"/>
          </w:tcPr>
          <w:p>
            <w:pPr>
              <w:jc w:val="center"/>
            </w:pPr>
            <w:r>
              <w:rPr>
                <w:sz w:val="18"/>
              </w:rPr>
              <w:t>101955</w:t>
            </w:r>
          </w:p>
        </w:tc>
      </w:tr>
      <w:tr>
        <w:tc>
          <w:tcPr>
            <w:tcW w:type="dxa" w:w="1984"/>
          </w:tcPr>
          <w:p>
            <w:pPr>
              <w:jc w:val="center"/>
            </w:pPr>
            <w:r>
              <w:rPr>
                <w:sz w:val="18"/>
              </w:rPr>
              <w:t>Eros</w:t>
            </w:r>
          </w:p>
        </w:tc>
        <w:tc>
          <w:tcPr>
            <w:tcW w:type="dxa" w:w="1701"/>
          </w:tcPr>
          <w:p>
            <w:pPr>
              <w:jc w:val="center"/>
            </w:pPr>
            <w:r>
              <w:rPr>
                <w:sz w:val="18"/>
              </w:rPr>
              <w:t>Famous</w:t>
            </w:r>
          </w:p>
        </w:tc>
        <w:tc>
          <w:tcPr>
            <w:tcW w:type="dxa" w:w="1701"/>
          </w:tcPr>
          <w:p>
            <w:pPr>
              <w:jc w:val="center"/>
            </w:pPr>
            <w:r>
              <w:rPr>
                <w:sz w:val="18"/>
              </w:rPr>
              <w:t>17,975</w:t>
            </w:r>
          </w:p>
        </w:tc>
        <w:tc>
          <w:tcPr>
            <w:tcW w:type="dxa" w:w="1984"/>
          </w:tcPr>
          <w:p>
            <w:pPr>
              <w:jc w:val="center"/>
            </w:pPr>
            <w:r>
              <w:rPr>
                <w:sz w:val="18"/>
              </w:rPr>
              <w:t>433</w:t>
            </w:r>
          </w:p>
        </w:tc>
      </w:tr>
      <w:tr>
        <w:tc>
          <w:tcPr>
            <w:tcW w:type="dxa" w:w="1984"/>
          </w:tcPr>
          <w:p>
            <w:pPr>
              <w:jc w:val="center"/>
            </w:pPr>
            <w:r>
              <w:rPr>
                <w:sz w:val="18"/>
              </w:rPr>
              <w:t>Itokawa</w:t>
            </w:r>
          </w:p>
        </w:tc>
        <w:tc>
          <w:tcPr>
            <w:tcW w:type="dxa" w:w="1701"/>
          </w:tcPr>
          <w:p>
            <w:pPr>
              <w:jc w:val="center"/>
            </w:pPr>
            <w:r>
              <w:rPr>
                <w:sz w:val="18"/>
              </w:rPr>
              <w:t>Famous</w:t>
            </w:r>
          </w:p>
        </w:tc>
        <w:tc>
          <w:tcPr>
            <w:tcW w:type="dxa" w:w="1701"/>
          </w:tcPr>
          <w:p>
            <w:pPr>
              <w:jc w:val="center"/>
            </w:pPr>
            <w:r>
              <w:rPr>
                <w:sz w:val="18"/>
              </w:rPr>
              <w:t>1,260</w:t>
            </w:r>
          </w:p>
        </w:tc>
        <w:tc>
          <w:tcPr>
            <w:tcW w:type="dxa" w:w="1984"/>
          </w:tcPr>
          <w:p>
            <w:pPr>
              <w:jc w:val="center"/>
            </w:pPr>
            <w:r>
              <w:rPr>
                <w:sz w:val="18"/>
              </w:rPr>
              <w:t>25143</w:t>
            </w:r>
          </w:p>
        </w:tc>
      </w:tr>
      <w:tr>
        <w:tc>
          <w:tcPr>
            <w:tcW w:type="dxa" w:w="1984"/>
          </w:tcPr>
          <w:p>
            <w:pPr>
              <w:jc w:val="center"/>
            </w:pPr>
            <w:r>
              <w:rPr>
                <w:sz w:val="18"/>
              </w:rPr>
              <w:t>Didymos</w:t>
            </w:r>
          </w:p>
        </w:tc>
        <w:tc>
          <w:tcPr>
            <w:tcW w:type="dxa" w:w="1701"/>
          </w:tcPr>
          <w:p>
            <w:pPr>
              <w:jc w:val="center"/>
            </w:pPr>
            <w:r>
              <w:rPr>
                <w:sz w:val="18"/>
              </w:rPr>
              <w:t>Notable</w:t>
            </w:r>
          </w:p>
        </w:tc>
        <w:tc>
          <w:tcPr>
            <w:tcW w:type="dxa" w:w="1701"/>
          </w:tcPr>
          <w:p>
            <w:pPr>
              <w:jc w:val="center"/>
            </w:pPr>
            <w:r>
              <w:rPr>
                <w:sz w:val="18"/>
              </w:rPr>
              <w:t>5,930</w:t>
            </w:r>
          </w:p>
        </w:tc>
        <w:tc>
          <w:tcPr>
            <w:tcW w:type="dxa" w:w="1984"/>
          </w:tcPr>
          <w:p>
            <w:pPr>
              <w:jc w:val="center"/>
            </w:pPr>
            <w:r>
              <w:rPr>
                <w:sz w:val="18"/>
              </w:rPr>
              <w:t>65803</w:t>
            </w:r>
          </w:p>
        </w:tc>
      </w:tr>
      <w:tr>
        <w:tc>
          <w:tcPr>
            <w:tcW w:type="dxa" w:w="1984"/>
          </w:tcPr>
          <w:p>
            <w:pPr>
              <w:jc w:val="center"/>
            </w:pPr>
            <w:r>
              <w:rPr>
                <w:sz w:val="18"/>
              </w:rPr>
              <w:t>Florence</w:t>
            </w:r>
          </w:p>
        </w:tc>
        <w:tc>
          <w:tcPr>
            <w:tcW w:type="dxa" w:w="1701"/>
          </w:tcPr>
          <w:p>
            <w:pPr>
              <w:jc w:val="center"/>
            </w:pPr>
            <w:r>
              <w:rPr>
                <w:sz w:val="18"/>
              </w:rPr>
              <w:t>Notable</w:t>
            </w:r>
          </w:p>
        </w:tc>
        <w:tc>
          <w:tcPr>
            <w:tcW w:type="dxa" w:w="1701"/>
          </w:tcPr>
          <w:p>
            <w:pPr>
              <w:jc w:val="center"/>
            </w:pPr>
            <w:r>
              <w:rPr>
                <w:sz w:val="18"/>
              </w:rPr>
              <w:t>9,817</w:t>
            </w:r>
          </w:p>
        </w:tc>
        <w:tc>
          <w:tcPr>
            <w:tcW w:type="dxa" w:w="1984"/>
          </w:tcPr>
          <w:p>
            <w:pPr>
              <w:jc w:val="center"/>
            </w:pPr>
            <w:r>
              <w:rPr>
                <w:sz w:val="18"/>
              </w:rPr>
              <w:t>3122</w:t>
            </w:r>
          </w:p>
        </w:tc>
      </w:tr>
      <w:tr>
        <w:tc>
          <w:tcPr>
            <w:tcW w:type="dxa" w:w="1984"/>
          </w:tcPr>
          <w:p>
            <w:pPr>
              <w:jc w:val="center"/>
            </w:pPr>
            <w:r>
              <w:rPr>
                <w:sz w:val="18"/>
              </w:rPr>
              <w:t>Geographos</w:t>
            </w:r>
          </w:p>
        </w:tc>
        <w:tc>
          <w:tcPr>
            <w:tcW w:type="dxa" w:w="1701"/>
          </w:tcPr>
          <w:p>
            <w:pPr>
              <w:jc w:val="center"/>
            </w:pPr>
            <w:r>
              <w:rPr>
                <w:sz w:val="18"/>
              </w:rPr>
              <w:t>Notable</w:t>
            </w:r>
          </w:p>
        </w:tc>
        <w:tc>
          <w:tcPr>
            <w:tcW w:type="dxa" w:w="1701"/>
          </w:tcPr>
          <w:p>
            <w:pPr>
              <w:jc w:val="center"/>
            </w:pPr>
            <w:r>
              <w:rPr>
                <w:sz w:val="18"/>
              </w:rPr>
              <w:t>9,493</w:t>
            </w:r>
          </w:p>
        </w:tc>
        <w:tc>
          <w:tcPr>
            <w:tcW w:type="dxa" w:w="1984"/>
          </w:tcPr>
          <w:p>
            <w:pPr>
              <w:jc w:val="center"/>
            </w:pPr>
            <w:r>
              <w:rPr>
                <w:sz w:val="18"/>
              </w:rPr>
              <w:t>1620</w:t>
            </w:r>
          </w:p>
        </w:tc>
      </w:tr>
      <w:tr>
        <w:tc>
          <w:tcPr>
            <w:tcW w:type="dxa" w:w="1984"/>
          </w:tcPr>
          <w:p>
            <w:pPr>
              <w:jc w:val="center"/>
            </w:pPr>
            <w:r>
              <w:rPr>
                <w:sz w:val="18"/>
              </w:rPr>
              <w:t>2012 DA14</w:t>
            </w:r>
          </w:p>
        </w:tc>
        <w:tc>
          <w:tcPr>
            <w:tcW w:type="dxa" w:w="1701"/>
          </w:tcPr>
          <w:p>
            <w:pPr>
              <w:jc w:val="center"/>
            </w:pPr>
            <w:r>
              <w:rPr>
                <w:sz w:val="18"/>
              </w:rPr>
              <w:t>Obscure</w:t>
            </w:r>
          </w:p>
        </w:tc>
        <w:tc>
          <w:tcPr>
            <w:tcW w:type="dxa" w:w="1701"/>
          </w:tcPr>
          <w:p>
            <w:pPr>
              <w:jc w:val="center"/>
            </w:pPr>
            <w:r>
              <w:rPr>
                <w:sz w:val="18"/>
              </w:rPr>
              <w:t>1,071</w:t>
            </w:r>
          </w:p>
        </w:tc>
        <w:tc>
          <w:tcPr>
            <w:tcW w:type="dxa" w:w="1984"/>
          </w:tcPr>
          <w:p>
            <w:pPr>
              <w:jc w:val="center"/>
            </w:pPr>
            <w:r>
              <w:rPr>
                <w:sz w:val="18"/>
              </w:rPr>
              <w:t>367943</w:t>
            </w:r>
          </w:p>
        </w:tc>
      </w:tr>
      <w:tr>
        <w:tc>
          <w:tcPr>
            <w:tcW w:type="dxa" w:w="1984"/>
          </w:tcPr>
          <w:p>
            <w:pPr>
              <w:jc w:val="center"/>
            </w:pPr>
            <w:r>
              <w:rPr>
                <w:sz w:val="18"/>
              </w:rPr>
              <w:t>Phaethon</w:t>
            </w:r>
          </w:p>
        </w:tc>
        <w:tc>
          <w:tcPr>
            <w:tcW w:type="dxa" w:w="1701"/>
          </w:tcPr>
          <w:p>
            <w:pPr>
              <w:jc w:val="center"/>
            </w:pPr>
            <w:r>
              <w:rPr>
                <w:sz w:val="18"/>
              </w:rPr>
              <w:t>Obscure</w:t>
            </w:r>
          </w:p>
        </w:tc>
        <w:tc>
          <w:tcPr>
            <w:tcW w:type="dxa" w:w="1701"/>
          </w:tcPr>
          <w:p>
            <w:pPr>
              <w:jc w:val="center"/>
            </w:pPr>
            <w:r>
              <w:rPr>
                <w:sz w:val="18"/>
              </w:rPr>
              <w:t>8,809</w:t>
            </w:r>
          </w:p>
        </w:tc>
        <w:tc>
          <w:tcPr>
            <w:tcW w:type="dxa" w:w="1984"/>
          </w:tcPr>
          <w:p>
            <w:pPr>
              <w:jc w:val="center"/>
            </w:pPr>
            <w:r>
              <w:rPr>
                <w:sz w:val="18"/>
              </w:rPr>
              <w:t>3200</w:t>
            </w:r>
          </w:p>
        </w:tc>
      </w:tr>
      <w:tr>
        <w:tc>
          <w:tcPr>
            <w:tcW w:type="dxa" w:w="1984"/>
          </w:tcPr>
          <w:p>
            <w:pPr>
              <w:jc w:val="center"/>
            </w:pPr>
            <w:r>
              <w:rPr>
                <w:sz w:val="18"/>
              </w:rPr>
              <w:t>2023 BU</w:t>
            </w:r>
          </w:p>
        </w:tc>
        <w:tc>
          <w:tcPr>
            <w:tcW w:type="dxa" w:w="1701"/>
          </w:tcPr>
          <w:p>
            <w:pPr>
              <w:jc w:val="center"/>
            </w:pPr>
            <w:r>
              <w:rPr>
                <w:sz w:val="18"/>
              </w:rPr>
              <w:t>Barely known</w:t>
            </w:r>
          </w:p>
        </w:tc>
        <w:tc>
          <w:tcPr>
            <w:tcW w:type="dxa" w:w="1701"/>
          </w:tcPr>
          <w:p>
            <w:pPr>
              <w:jc w:val="center"/>
            </w:pPr>
            <w:r>
              <w:rPr>
                <w:sz w:val="18"/>
              </w:rPr>
              <w:t>1,758</w:t>
            </w:r>
          </w:p>
        </w:tc>
        <w:tc>
          <w:tcPr>
            <w:tcW w:type="dxa" w:w="1984"/>
          </w:tcPr>
          <w:p>
            <w:pPr>
              <w:jc w:val="center"/>
            </w:pPr>
            <w:r>
              <w:rPr>
                <w:sz w:val="18"/>
              </w:rPr>
              <w:t>2023 BU</w:t>
            </w:r>
          </w:p>
        </w:tc>
      </w:tr>
    </w:tbl>
    <w:p>
      <w:pPr>
        <w:jc w:val="center"/>
      </w:pPr>
      <w:r>
        <w:rPr>
          <w:i/>
          <w:sz w:val="20"/>
        </w:rPr>
        <w:t>Table 5.1: Study set of ten Near-Earth Objects with observation counts</w:t>
      </w:r>
    </w:p>
    <w:p>
      <w:pPr>
        <w:jc w:val="both"/>
      </w:pPr>
      <w:r>
        <w:t>The study set spans a 30-fold range in observation density, from 17,975 observations for Eros to 603 for Bennu, providing a robust basis for examining the relationship between observation density and vulnerability to adversarial injection, presented in Section 5.6.</w:t>
      </w:r>
    </w:p>
    <w:p>
      <w:pPr>
        <w:pStyle w:val="Heading2"/>
      </w:pPr>
      <w:r>
        <w:t>5.3 Adversarial Injection Results</w:t>
      </w:r>
    </w:p>
    <w:p>
      <w:pPr>
        <w:jc w:val="both"/>
      </w:pPr>
      <w:r>
        <w:t>The adversarial injection module was applied to all ten cleaned datasets, producing three manipulated copies of each: a systematic bias dataset, a stochastic noise dataset, and a targeted outlier dataset. The targeted outlier archetype corrupted a fixed number of 20 observations per object; because the total dataset size varies substantially across the study set, the proportion of the dataset corrupted by this fixed-count attack varies from as little as 0.111% (Eros) to as much as 3.317% (Bennu). Table 5.2 presents this proportion for each object, which is a key explanatory variable examined further in Section 5.6.</w:t>
      </w:r>
    </w:p>
    <w:p/>
    <w:tbl>
      <w:tblPr>
        <w:tblStyle w:val="TableGrid"/>
        <w:tblW w:type="auto" w:w="0"/>
        <w:jc w:val="center"/>
        <w:tblLook w:firstColumn="1" w:firstRow="1" w:lastColumn="0" w:lastRow="0" w:noHBand="0" w:noVBand="1" w:val="04A0"/>
      </w:tblPr>
      <w:tblGrid>
        <w:gridCol w:w="3591"/>
        <w:gridCol w:w="3591"/>
        <w:gridCol w:w="3591"/>
      </w:tblGrid>
      <w:tr>
        <w:tc>
          <w:tcPr>
            <w:tcW w:type="dxa" w:w="2268"/>
          </w:tcPr>
          <w:p>
            <w:pPr>
              <w:jc w:val="center"/>
            </w:pPr>
            <w:r>
              <w:rPr>
                <w:b/>
                <w:sz w:val="18"/>
              </w:rPr>
              <w:t>Object</w:t>
            </w:r>
          </w:p>
        </w:tc>
        <w:tc>
          <w:tcPr>
            <w:tcW w:type="dxa" w:w="1701"/>
          </w:tcPr>
          <w:p>
            <w:pPr>
              <w:jc w:val="center"/>
            </w:pPr>
            <w:r>
              <w:rPr>
                <w:b/>
                <w:sz w:val="18"/>
              </w:rPr>
              <w:t>Observations</w:t>
            </w:r>
          </w:p>
        </w:tc>
        <w:tc>
          <w:tcPr>
            <w:tcW w:type="dxa" w:w="2835"/>
          </w:tcPr>
          <w:p>
            <w:pPr>
              <w:jc w:val="center"/>
            </w:pPr>
            <w:r>
              <w:rPr>
                <w:b/>
                <w:sz w:val="18"/>
              </w:rPr>
              <w:t>% Dataset Corrupted (Targeted Outlier, n=20)</w:t>
            </w:r>
          </w:p>
        </w:tc>
      </w:tr>
      <w:tr>
        <w:tc>
          <w:tcPr>
            <w:tcW w:type="dxa" w:w="2268"/>
          </w:tcPr>
          <w:p>
            <w:pPr>
              <w:jc w:val="center"/>
            </w:pPr>
            <w:r>
              <w:rPr>
                <w:sz w:val="18"/>
              </w:rPr>
              <w:t>Eros</w:t>
            </w:r>
          </w:p>
        </w:tc>
        <w:tc>
          <w:tcPr>
            <w:tcW w:type="dxa" w:w="1701"/>
          </w:tcPr>
          <w:p>
            <w:pPr>
              <w:jc w:val="center"/>
            </w:pPr>
            <w:r>
              <w:rPr>
                <w:sz w:val="18"/>
              </w:rPr>
              <w:t>17,975</w:t>
            </w:r>
          </w:p>
        </w:tc>
        <w:tc>
          <w:tcPr>
            <w:tcW w:type="dxa" w:w="2835"/>
          </w:tcPr>
          <w:p>
            <w:pPr>
              <w:jc w:val="center"/>
            </w:pPr>
            <w:r>
              <w:rPr>
                <w:sz w:val="18"/>
              </w:rPr>
              <w:t>0.111%</w:t>
            </w:r>
          </w:p>
        </w:tc>
      </w:tr>
      <w:tr>
        <w:tc>
          <w:tcPr>
            <w:tcW w:type="dxa" w:w="2268"/>
          </w:tcPr>
          <w:p>
            <w:pPr>
              <w:jc w:val="center"/>
            </w:pPr>
            <w:r>
              <w:rPr>
                <w:sz w:val="18"/>
              </w:rPr>
              <w:t>Florence</w:t>
            </w:r>
          </w:p>
        </w:tc>
        <w:tc>
          <w:tcPr>
            <w:tcW w:type="dxa" w:w="1701"/>
          </w:tcPr>
          <w:p>
            <w:pPr>
              <w:jc w:val="center"/>
            </w:pPr>
            <w:r>
              <w:rPr>
                <w:sz w:val="18"/>
              </w:rPr>
              <w:t>9,817</w:t>
            </w:r>
          </w:p>
        </w:tc>
        <w:tc>
          <w:tcPr>
            <w:tcW w:type="dxa" w:w="2835"/>
          </w:tcPr>
          <w:p>
            <w:pPr>
              <w:jc w:val="center"/>
            </w:pPr>
            <w:r>
              <w:rPr>
                <w:sz w:val="18"/>
              </w:rPr>
              <w:t>0.204%</w:t>
            </w:r>
          </w:p>
        </w:tc>
      </w:tr>
      <w:tr>
        <w:tc>
          <w:tcPr>
            <w:tcW w:type="dxa" w:w="2268"/>
          </w:tcPr>
          <w:p>
            <w:pPr>
              <w:jc w:val="center"/>
            </w:pPr>
            <w:r>
              <w:rPr>
                <w:sz w:val="18"/>
              </w:rPr>
              <w:t>Geographos</w:t>
            </w:r>
          </w:p>
        </w:tc>
        <w:tc>
          <w:tcPr>
            <w:tcW w:type="dxa" w:w="1701"/>
          </w:tcPr>
          <w:p>
            <w:pPr>
              <w:jc w:val="center"/>
            </w:pPr>
            <w:r>
              <w:rPr>
                <w:sz w:val="18"/>
              </w:rPr>
              <w:t>9,493</w:t>
            </w:r>
          </w:p>
        </w:tc>
        <w:tc>
          <w:tcPr>
            <w:tcW w:type="dxa" w:w="2835"/>
          </w:tcPr>
          <w:p>
            <w:pPr>
              <w:jc w:val="center"/>
            </w:pPr>
            <w:r>
              <w:rPr>
                <w:sz w:val="18"/>
              </w:rPr>
              <w:t>0.211%</w:t>
            </w:r>
          </w:p>
        </w:tc>
      </w:tr>
      <w:tr>
        <w:tc>
          <w:tcPr>
            <w:tcW w:type="dxa" w:w="2268"/>
          </w:tcPr>
          <w:p>
            <w:pPr>
              <w:jc w:val="center"/>
            </w:pPr>
            <w:r>
              <w:rPr>
                <w:sz w:val="18"/>
              </w:rPr>
              <w:t>Apophis</w:t>
            </w:r>
          </w:p>
        </w:tc>
        <w:tc>
          <w:tcPr>
            <w:tcW w:type="dxa" w:w="1701"/>
          </w:tcPr>
          <w:p>
            <w:pPr>
              <w:jc w:val="center"/>
            </w:pPr>
            <w:r>
              <w:rPr>
                <w:sz w:val="18"/>
              </w:rPr>
              <w:t>9,337</w:t>
            </w:r>
          </w:p>
        </w:tc>
        <w:tc>
          <w:tcPr>
            <w:tcW w:type="dxa" w:w="2835"/>
          </w:tcPr>
          <w:p>
            <w:pPr>
              <w:jc w:val="center"/>
            </w:pPr>
            <w:r>
              <w:rPr>
                <w:sz w:val="18"/>
              </w:rPr>
              <w:t>0.214%</w:t>
            </w:r>
          </w:p>
        </w:tc>
      </w:tr>
      <w:tr>
        <w:tc>
          <w:tcPr>
            <w:tcW w:type="dxa" w:w="2268"/>
          </w:tcPr>
          <w:p>
            <w:pPr>
              <w:jc w:val="center"/>
            </w:pPr>
            <w:r>
              <w:rPr>
                <w:sz w:val="18"/>
              </w:rPr>
              <w:t>Phaethon</w:t>
            </w:r>
          </w:p>
        </w:tc>
        <w:tc>
          <w:tcPr>
            <w:tcW w:type="dxa" w:w="1701"/>
          </w:tcPr>
          <w:p>
            <w:pPr>
              <w:jc w:val="center"/>
            </w:pPr>
            <w:r>
              <w:rPr>
                <w:sz w:val="18"/>
              </w:rPr>
              <w:t>8,809</w:t>
            </w:r>
          </w:p>
        </w:tc>
        <w:tc>
          <w:tcPr>
            <w:tcW w:type="dxa" w:w="2835"/>
          </w:tcPr>
          <w:p>
            <w:pPr>
              <w:jc w:val="center"/>
            </w:pPr>
            <w:r>
              <w:rPr>
                <w:sz w:val="18"/>
              </w:rPr>
              <w:t>0.227%</w:t>
            </w:r>
          </w:p>
        </w:tc>
      </w:tr>
      <w:tr>
        <w:tc>
          <w:tcPr>
            <w:tcW w:type="dxa" w:w="2268"/>
          </w:tcPr>
          <w:p>
            <w:pPr>
              <w:jc w:val="center"/>
            </w:pPr>
            <w:r>
              <w:rPr>
                <w:sz w:val="18"/>
              </w:rPr>
              <w:t>Didymos</w:t>
            </w:r>
          </w:p>
        </w:tc>
        <w:tc>
          <w:tcPr>
            <w:tcW w:type="dxa" w:w="1701"/>
          </w:tcPr>
          <w:p>
            <w:pPr>
              <w:jc w:val="center"/>
            </w:pPr>
            <w:r>
              <w:rPr>
                <w:sz w:val="18"/>
              </w:rPr>
              <w:t>5,930</w:t>
            </w:r>
          </w:p>
        </w:tc>
        <w:tc>
          <w:tcPr>
            <w:tcW w:type="dxa" w:w="2835"/>
          </w:tcPr>
          <w:p>
            <w:pPr>
              <w:jc w:val="center"/>
            </w:pPr>
            <w:r>
              <w:rPr>
                <w:sz w:val="18"/>
              </w:rPr>
              <w:t>0.337%</w:t>
            </w:r>
          </w:p>
        </w:tc>
      </w:tr>
      <w:tr>
        <w:tc>
          <w:tcPr>
            <w:tcW w:type="dxa" w:w="2268"/>
          </w:tcPr>
          <w:p>
            <w:pPr>
              <w:jc w:val="center"/>
            </w:pPr>
            <w:r>
              <w:rPr>
                <w:sz w:val="18"/>
              </w:rPr>
              <w:t>2023 BU</w:t>
            </w:r>
          </w:p>
        </w:tc>
        <w:tc>
          <w:tcPr>
            <w:tcW w:type="dxa" w:w="1701"/>
          </w:tcPr>
          <w:p>
            <w:pPr>
              <w:jc w:val="center"/>
            </w:pPr>
            <w:r>
              <w:rPr>
                <w:sz w:val="18"/>
              </w:rPr>
              <w:t>1,758</w:t>
            </w:r>
          </w:p>
        </w:tc>
        <w:tc>
          <w:tcPr>
            <w:tcW w:type="dxa" w:w="2835"/>
          </w:tcPr>
          <w:p>
            <w:pPr>
              <w:jc w:val="center"/>
            </w:pPr>
            <w:r>
              <w:rPr>
                <w:sz w:val="18"/>
              </w:rPr>
              <w:t>1.138%</w:t>
            </w:r>
          </w:p>
        </w:tc>
      </w:tr>
      <w:tr>
        <w:tc>
          <w:tcPr>
            <w:tcW w:type="dxa" w:w="2268"/>
          </w:tcPr>
          <w:p>
            <w:pPr>
              <w:jc w:val="center"/>
            </w:pPr>
            <w:r>
              <w:rPr>
                <w:sz w:val="18"/>
              </w:rPr>
              <w:t>Itokawa</w:t>
            </w:r>
          </w:p>
        </w:tc>
        <w:tc>
          <w:tcPr>
            <w:tcW w:type="dxa" w:w="1701"/>
          </w:tcPr>
          <w:p>
            <w:pPr>
              <w:jc w:val="center"/>
            </w:pPr>
            <w:r>
              <w:rPr>
                <w:sz w:val="18"/>
              </w:rPr>
              <w:t>1,260</w:t>
            </w:r>
          </w:p>
        </w:tc>
        <w:tc>
          <w:tcPr>
            <w:tcW w:type="dxa" w:w="2835"/>
          </w:tcPr>
          <w:p>
            <w:pPr>
              <w:jc w:val="center"/>
            </w:pPr>
            <w:r>
              <w:rPr>
                <w:sz w:val="18"/>
              </w:rPr>
              <w:t>1.587%</w:t>
            </w:r>
          </w:p>
        </w:tc>
      </w:tr>
      <w:tr>
        <w:tc>
          <w:tcPr>
            <w:tcW w:type="dxa" w:w="2268"/>
          </w:tcPr>
          <w:p>
            <w:pPr>
              <w:jc w:val="center"/>
            </w:pPr>
            <w:r>
              <w:rPr>
                <w:sz w:val="18"/>
              </w:rPr>
              <w:t>2012 DA14</w:t>
            </w:r>
          </w:p>
        </w:tc>
        <w:tc>
          <w:tcPr>
            <w:tcW w:type="dxa" w:w="1701"/>
          </w:tcPr>
          <w:p>
            <w:pPr>
              <w:jc w:val="center"/>
            </w:pPr>
            <w:r>
              <w:rPr>
                <w:sz w:val="18"/>
              </w:rPr>
              <w:t>1,071</w:t>
            </w:r>
          </w:p>
        </w:tc>
        <w:tc>
          <w:tcPr>
            <w:tcW w:type="dxa" w:w="2835"/>
          </w:tcPr>
          <w:p>
            <w:pPr>
              <w:jc w:val="center"/>
            </w:pPr>
            <w:r>
              <w:rPr>
                <w:sz w:val="18"/>
              </w:rPr>
              <w:t>1.867%</w:t>
            </w:r>
          </w:p>
        </w:tc>
      </w:tr>
      <w:tr>
        <w:tc>
          <w:tcPr>
            <w:tcW w:type="dxa" w:w="2268"/>
          </w:tcPr>
          <w:p>
            <w:pPr>
              <w:jc w:val="center"/>
            </w:pPr>
            <w:r>
              <w:rPr>
                <w:sz w:val="18"/>
              </w:rPr>
              <w:t>Bennu</w:t>
            </w:r>
          </w:p>
        </w:tc>
        <w:tc>
          <w:tcPr>
            <w:tcW w:type="dxa" w:w="1701"/>
          </w:tcPr>
          <w:p>
            <w:pPr>
              <w:jc w:val="center"/>
            </w:pPr>
            <w:r>
              <w:rPr>
                <w:sz w:val="18"/>
              </w:rPr>
              <w:t>603</w:t>
            </w:r>
          </w:p>
        </w:tc>
        <w:tc>
          <w:tcPr>
            <w:tcW w:type="dxa" w:w="2835"/>
          </w:tcPr>
          <w:p>
            <w:pPr>
              <w:jc w:val="center"/>
            </w:pPr>
            <w:r>
              <w:rPr>
                <w:sz w:val="18"/>
              </w:rPr>
              <w:t>3.317%</w:t>
            </w:r>
          </w:p>
        </w:tc>
      </w:tr>
    </w:tbl>
    <w:p>
      <w:pPr>
        <w:jc w:val="center"/>
      </w:pPr>
      <w:r>
        <w:rPr>
          <w:i/>
          <w:sz w:val="20"/>
        </w:rPr>
        <w:t>Table 5.2: Percentage of dataset corrupted by the fixed-count targeted outlier attack, ranked by observation density</w:t>
      </w:r>
    </w:p>
    <w:p>
      <w:pPr>
        <w:pStyle w:val="Heading2"/>
      </w:pPr>
      <w:r>
        <w:t>5.4 Orbital Propagation Results (GMAT)</w:t>
      </w:r>
    </w:p>
    <w:p>
      <w:pPr>
        <w:pStyle w:val="Heading3"/>
      </w:pPr>
      <w:r>
        <w:t>5.4.1 Simulation Configuration</w:t>
      </w:r>
    </w:p>
    <w:p>
      <w:pPr>
        <w:jc w:val="both"/>
      </w:pPr>
      <w:r>
        <w:t>Orbital propagation was performed using NASA’s General Mission Analysis Tool (GMAT) R2026a. For each object and scenario, geocentric Cartesian state vectors were retrieved from the JPL Horizons API and used to initialise a spacecraft object in the EarthMJ2000Eq coordinate frame. The force model incorporated Earth as the central body with zero-degree gravity field, supplemented by point-mass perturbations from the Sun, Luna, and Jupiter. The RungeKutta89 integrator was used for all propagation runs, with each scenario propagated forward 30 days from the initial epoch (1 January 2020) to establish the minimum close approach distance.</w:t>
      </w:r>
    </w:p>
    <w:p>
      <w:pPr>
        <w:jc w:val="both"/>
      </w:pPr>
      <w:r>
        <w:t>As acknowledged in the methodological limitations, the GMAT simulation baseline distances reflect the simplified force model employed and do not correspond to published operational close-approach values. The research design addresses this by focusing on the relative CAD delta between clean and attacked scenarios for each object, which remains internally consistent and valid as a comparative measure of injection impact.</w:t>
      </w:r>
    </w:p>
    <w:p>
      <w:pPr>
        <w:pStyle w:val="Heading3"/>
      </w:pPr>
      <w:r>
        <w:t>5.4.2 Complete CAD Delta Results — All Ten Objects</w:t>
      </w:r>
    </w:p>
    <w:p>
      <w:pPr>
        <w:jc w:val="both"/>
      </w:pPr>
      <w:r>
        <w:t>Table 5.3 presents the complete Close Approach Distance delta results for all ten objects across all three injection archetypes, ranked by absolute targeted outlier delta.</w:t>
      </w:r>
    </w:p>
    <w:p/>
    <w:tbl>
      <w:tblPr>
        <w:tblStyle w:val="TableGrid"/>
        <w:tblW w:type="auto" w:w="0"/>
        <w:jc w:val="center"/>
        <w:tblLook w:firstColumn="1" w:firstRow="1" w:lastColumn="0" w:lastRow="0" w:noHBand="0" w:noVBand="1" w:val="04A0"/>
      </w:tblPr>
      <w:tblGrid>
        <w:gridCol w:w="2154"/>
        <w:gridCol w:w="2154"/>
        <w:gridCol w:w="2154"/>
        <w:gridCol w:w="2154"/>
        <w:gridCol w:w="2154"/>
      </w:tblGrid>
      <w:tr>
        <w:tc>
          <w:tcPr>
            <w:tcW w:type="dxa" w:w="1701"/>
          </w:tcPr>
          <w:p>
            <w:pPr>
              <w:jc w:val="center"/>
            </w:pPr>
            <w:r>
              <w:rPr>
                <w:b/>
                <w:sz w:val="16"/>
              </w:rPr>
              <w:t>Object</w:t>
            </w:r>
          </w:p>
        </w:tc>
        <w:tc>
          <w:tcPr>
            <w:tcW w:type="dxa" w:w="1134"/>
          </w:tcPr>
          <w:p>
            <w:pPr>
              <w:jc w:val="center"/>
            </w:pPr>
            <w:r>
              <w:rPr>
                <w:b/>
                <w:sz w:val="16"/>
              </w:rPr>
              <w:t>Obs.</w:t>
            </w:r>
          </w:p>
        </w:tc>
        <w:tc>
          <w:tcPr>
            <w:tcW w:type="dxa" w:w="1871"/>
          </w:tcPr>
          <w:p>
            <w:pPr>
              <w:jc w:val="center"/>
            </w:pPr>
            <w:r>
              <w:rPr>
                <w:b/>
                <w:sz w:val="16"/>
              </w:rPr>
              <w:t>Systematic Bias Δ (km)</w:t>
            </w:r>
          </w:p>
        </w:tc>
        <w:tc>
          <w:tcPr>
            <w:tcW w:type="dxa" w:w="1871"/>
          </w:tcPr>
          <w:p>
            <w:pPr>
              <w:jc w:val="center"/>
            </w:pPr>
            <w:r>
              <w:rPr>
                <w:b/>
                <w:sz w:val="16"/>
              </w:rPr>
              <w:t>Stochastic Noise Δ (km)</w:t>
            </w:r>
          </w:p>
        </w:tc>
        <w:tc>
          <w:tcPr>
            <w:tcW w:type="dxa" w:w="1871"/>
          </w:tcPr>
          <w:p>
            <w:pPr>
              <w:jc w:val="center"/>
            </w:pPr>
            <w:r>
              <w:rPr>
                <w:b/>
                <w:sz w:val="16"/>
              </w:rPr>
              <w:t>Targeted Outlier Δ (km)</w:t>
            </w:r>
          </w:p>
        </w:tc>
      </w:tr>
      <w:tr>
        <w:tc>
          <w:tcPr>
            <w:tcW w:type="dxa" w:w="1701"/>
          </w:tcPr>
          <w:p>
            <w:pPr>
              <w:jc w:val="center"/>
            </w:pPr>
            <w:r>
              <w:rPr>
                <w:sz w:val="16"/>
              </w:rPr>
              <w:t>2012 DA14</w:t>
            </w:r>
          </w:p>
        </w:tc>
        <w:tc>
          <w:tcPr>
            <w:tcW w:type="dxa" w:w="1134"/>
          </w:tcPr>
          <w:p>
            <w:pPr>
              <w:jc w:val="center"/>
            </w:pPr>
            <w:r>
              <w:rPr>
                <w:sz w:val="16"/>
              </w:rPr>
              <w:t>1,071</w:t>
            </w:r>
          </w:p>
        </w:tc>
        <w:tc>
          <w:tcPr>
            <w:tcW w:type="dxa" w:w="1871"/>
          </w:tcPr>
          <w:p>
            <w:pPr>
              <w:jc w:val="center"/>
            </w:pPr>
            <w:r>
              <w:rPr>
                <w:sz w:val="16"/>
              </w:rPr>
              <w:t>−7,198.0</w:t>
            </w:r>
          </w:p>
        </w:tc>
        <w:tc>
          <w:tcPr>
            <w:tcW w:type="dxa" w:w="1871"/>
          </w:tcPr>
          <w:p>
            <w:pPr>
              <w:jc w:val="center"/>
            </w:pPr>
            <w:r>
              <w:rPr>
                <w:sz w:val="16"/>
              </w:rPr>
              <w:t>−3,620.9</w:t>
            </w:r>
          </w:p>
        </w:tc>
        <w:tc>
          <w:tcPr>
            <w:tcW w:type="dxa" w:w="1871"/>
          </w:tcPr>
          <w:p>
            <w:pPr>
              <w:jc w:val="center"/>
            </w:pPr>
            <w:r>
              <w:rPr>
                <w:sz w:val="16"/>
              </w:rPr>
              <w:t>−1,068.0</w:t>
            </w:r>
          </w:p>
        </w:tc>
      </w:tr>
      <w:tr>
        <w:tc>
          <w:tcPr>
            <w:tcW w:type="dxa" w:w="1701"/>
          </w:tcPr>
          <w:p>
            <w:pPr>
              <w:jc w:val="center"/>
            </w:pPr>
            <w:r>
              <w:rPr>
                <w:sz w:val="16"/>
              </w:rPr>
              <w:t>Didymos</w:t>
            </w:r>
          </w:p>
        </w:tc>
        <w:tc>
          <w:tcPr>
            <w:tcW w:type="dxa" w:w="1134"/>
          </w:tcPr>
          <w:p>
            <w:pPr>
              <w:jc w:val="center"/>
            </w:pPr>
            <w:r>
              <w:rPr>
                <w:sz w:val="16"/>
              </w:rPr>
              <w:t>5,930</w:t>
            </w:r>
          </w:p>
        </w:tc>
        <w:tc>
          <w:tcPr>
            <w:tcW w:type="dxa" w:w="1871"/>
          </w:tcPr>
          <w:p>
            <w:pPr>
              <w:jc w:val="center"/>
            </w:pPr>
            <w:r>
              <w:rPr>
                <w:sz w:val="16"/>
              </w:rPr>
              <w:t>−5,385.1</w:t>
            </w:r>
          </w:p>
        </w:tc>
        <w:tc>
          <w:tcPr>
            <w:tcW w:type="dxa" w:w="1871"/>
          </w:tcPr>
          <w:p>
            <w:pPr>
              <w:jc w:val="center"/>
            </w:pPr>
            <w:r>
              <w:rPr>
                <w:sz w:val="16"/>
              </w:rPr>
              <w:t>−2,711.0</w:t>
            </w:r>
          </w:p>
        </w:tc>
        <w:tc>
          <w:tcPr>
            <w:tcW w:type="dxa" w:w="1871"/>
          </w:tcPr>
          <w:p>
            <w:pPr>
              <w:jc w:val="center"/>
            </w:pPr>
            <w:r>
              <w:rPr>
                <w:sz w:val="16"/>
              </w:rPr>
              <w:t>−797.9</w:t>
            </w:r>
          </w:p>
        </w:tc>
      </w:tr>
      <w:tr>
        <w:tc>
          <w:tcPr>
            <w:tcW w:type="dxa" w:w="1701"/>
          </w:tcPr>
          <w:p>
            <w:pPr>
              <w:jc w:val="center"/>
            </w:pPr>
            <w:r>
              <w:rPr>
                <w:sz w:val="16"/>
              </w:rPr>
              <w:t>Bennu</w:t>
            </w:r>
          </w:p>
        </w:tc>
        <w:tc>
          <w:tcPr>
            <w:tcW w:type="dxa" w:w="1134"/>
          </w:tcPr>
          <w:p>
            <w:pPr>
              <w:jc w:val="center"/>
            </w:pPr>
            <w:r>
              <w:rPr>
                <w:sz w:val="16"/>
              </w:rPr>
              <w:t>603</w:t>
            </w:r>
          </w:p>
        </w:tc>
        <w:tc>
          <w:tcPr>
            <w:tcW w:type="dxa" w:w="1871"/>
          </w:tcPr>
          <w:p>
            <w:pPr>
              <w:jc w:val="center"/>
            </w:pPr>
            <w:r>
              <w:rPr>
                <w:sz w:val="16"/>
              </w:rPr>
              <w:t>+3,334.6</w:t>
            </w:r>
          </w:p>
        </w:tc>
        <w:tc>
          <w:tcPr>
            <w:tcW w:type="dxa" w:w="1871"/>
          </w:tcPr>
          <w:p>
            <w:pPr>
              <w:jc w:val="center"/>
            </w:pPr>
            <w:r>
              <w:rPr>
                <w:sz w:val="16"/>
              </w:rPr>
              <w:t>+1,679.7</w:t>
            </w:r>
          </w:p>
        </w:tc>
        <w:tc>
          <w:tcPr>
            <w:tcW w:type="dxa" w:w="1871"/>
          </w:tcPr>
          <w:p>
            <w:pPr>
              <w:jc w:val="center"/>
            </w:pPr>
            <w:r>
              <w:rPr>
                <w:sz w:val="16"/>
              </w:rPr>
              <w:t>+493.5</w:t>
            </w:r>
          </w:p>
        </w:tc>
      </w:tr>
      <w:tr>
        <w:tc>
          <w:tcPr>
            <w:tcW w:type="dxa" w:w="1701"/>
          </w:tcPr>
          <w:p>
            <w:pPr>
              <w:jc w:val="center"/>
            </w:pPr>
            <w:r>
              <w:rPr>
                <w:sz w:val="16"/>
              </w:rPr>
              <w:t>Florence</w:t>
            </w:r>
          </w:p>
        </w:tc>
        <w:tc>
          <w:tcPr>
            <w:tcW w:type="dxa" w:w="1134"/>
          </w:tcPr>
          <w:p>
            <w:pPr>
              <w:jc w:val="center"/>
            </w:pPr>
            <w:r>
              <w:rPr>
                <w:sz w:val="16"/>
              </w:rPr>
              <w:t>9,817</w:t>
            </w:r>
          </w:p>
        </w:tc>
        <w:tc>
          <w:tcPr>
            <w:tcW w:type="dxa" w:w="1871"/>
          </w:tcPr>
          <w:p>
            <w:pPr>
              <w:jc w:val="center"/>
            </w:pPr>
            <w:r>
              <w:rPr>
                <w:sz w:val="16"/>
              </w:rPr>
              <w:t>+1,158.6</w:t>
            </w:r>
          </w:p>
        </w:tc>
        <w:tc>
          <w:tcPr>
            <w:tcW w:type="dxa" w:w="1871"/>
          </w:tcPr>
          <w:p>
            <w:pPr>
              <w:jc w:val="center"/>
            </w:pPr>
            <w:r>
              <w:rPr>
                <w:sz w:val="16"/>
              </w:rPr>
              <w:t>+584.9</w:t>
            </w:r>
          </w:p>
        </w:tc>
        <w:tc>
          <w:tcPr>
            <w:tcW w:type="dxa" w:w="1871"/>
          </w:tcPr>
          <w:p>
            <w:pPr>
              <w:jc w:val="center"/>
            </w:pPr>
            <w:r>
              <w:rPr>
                <w:sz w:val="16"/>
              </w:rPr>
              <w:t>+170.5</w:t>
            </w:r>
          </w:p>
        </w:tc>
      </w:tr>
      <w:tr>
        <w:tc>
          <w:tcPr>
            <w:tcW w:type="dxa" w:w="1701"/>
          </w:tcPr>
          <w:p>
            <w:pPr>
              <w:jc w:val="center"/>
            </w:pPr>
            <w:r>
              <w:rPr>
                <w:sz w:val="16"/>
              </w:rPr>
              <w:t>Apophis</w:t>
            </w:r>
          </w:p>
        </w:tc>
        <w:tc>
          <w:tcPr>
            <w:tcW w:type="dxa" w:w="1134"/>
          </w:tcPr>
          <w:p>
            <w:pPr>
              <w:jc w:val="center"/>
            </w:pPr>
            <w:r>
              <w:rPr>
                <w:sz w:val="16"/>
              </w:rPr>
              <w:t>9,337</w:t>
            </w:r>
          </w:p>
        </w:tc>
        <w:tc>
          <w:tcPr>
            <w:tcW w:type="dxa" w:w="1871"/>
          </w:tcPr>
          <w:p>
            <w:pPr>
              <w:jc w:val="center"/>
            </w:pPr>
            <w:r>
              <w:rPr>
                <w:sz w:val="16"/>
              </w:rPr>
              <w:t>+822.3</w:t>
            </w:r>
          </w:p>
        </w:tc>
        <w:tc>
          <w:tcPr>
            <w:tcW w:type="dxa" w:w="1871"/>
          </w:tcPr>
          <w:p>
            <w:pPr>
              <w:jc w:val="center"/>
            </w:pPr>
            <w:r>
              <w:rPr>
                <w:sz w:val="16"/>
              </w:rPr>
              <w:t>+428.0</w:t>
            </w:r>
          </w:p>
        </w:tc>
        <w:tc>
          <w:tcPr>
            <w:tcW w:type="dxa" w:w="1871"/>
          </w:tcPr>
          <w:p>
            <w:pPr>
              <w:jc w:val="center"/>
            </w:pPr>
            <w:r>
              <w:rPr>
                <w:sz w:val="16"/>
              </w:rPr>
              <w:t>+114.5</w:t>
            </w:r>
          </w:p>
        </w:tc>
      </w:tr>
      <w:tr>
        <w:tc>
          <w:tcPr>
            <w:tcW w:type="dxa" w:w="1701"/>
          </w:tcPr>
          <w:p>
            <w:pPr>
              <w:jc w:val="center"/>
            </w:pPr>
            <w:r>
              <w:rPr>
                <w:sz w:val="16"/>
              </w:rPr>
              <w:t>2023 BU</w:t>
            </w:r>
          </w:p>
        </w:tc>
        <w:tc>
          <w:tcPr>
            <w:tcW w:type="dxa" w:w="1134"/>
          </w:tcPr>
          <w:p>
            <w:pPr>
              <w:jc w:val="center"/>
            </w:pPr>
            <w:r>
              <w:rPr>
                <w:sz w:val="16"/>
              </w:rPr>
              <w:t>1,758</w:t>
            </w:r>
          </w:p>
        </w:tc>
        <w:tc>
          <w:tcPr>
            <w:tcW w:type="dxa" w:w="1871"/>
          </w:tcPr>
          <w:p>
            <w:pPr>
              <w:jc w:val="center"/>
            </w:pPr>
            <w:r>
              <w:rPr>
                <w:sz w:val="16"/>
              </w:rPr>
              <w:t>+218.0</w:t>
            </w:r>
          </w:p>
        </w:tc>
        <w:tc>
          <w:tcPr>
            <w:tcW w:type="dxa" w:w="1871"/>
          </w:tcPr>
          <w:p>
            <w:pPr>
              <w:jc w:val="center"/>
            </w:pPr>
            <w:r>
              <w:rPr>
                <w:sz w:val="16"/>
              </w:rPr>
              <w:t>+130.3</w:t>
            </w:r>
          </w:p>
        </w:tc>
        <w:tc>
          <w:tcPr>
            <w:tcW w:type="dxa" w:w="1871"/>
          </w:tcPr>
          <w:p>
            <w:pPr>
              <w:jc w:val="center"/>
            </w:pPr>
            <w:r>
              <w:rPr>
                <w:sz w:val="16"/>
              </w:rPr>
              <w:t>+21.3</w:t>
            </w:r>
          </w:p>
        </w:tc>
      </w:tr>
      <w:tr>
        <w:tc>
          <w:tcPr>
            <w:tcW w:type="dxa" w:w="1701"/>
          </w:tcPr>
          <w:p>
            <w:pPr>
              <w:jc w:val="center"/>
            </w:pPr>
            <w:r>
              <w:rPr>
                <w:sz w:val="16"/>
              </w:rPr>
              <w:t>Phaethon</w:t>
            </w:r>
          </w:p>
        </w:tc>
        <w:tc>
          <w:tcPr>
            <w:tcW w:type="dxa" w:w="1134"/>
          </w:tcPr>
          <w:p>
            <w:pPr>
              <w:jc w:val="center"/>
            </w:pPr>
            <w:r>
              <w:rPr>
                <w:sz w:val="16"/>
              </w:rPr>
              <w:t>8,809</w:t>
            </w:r>
          </w:p>
        </w:tc>
        <w:tc>
          <w:tcPr>
            <w:tcW w:type="dxa" w:w="1871"/>
          </w:tcPr>
          <w:p>
            <w:pPr>
              <w:jc w:val="center"/>
            </w:pPr>
            <w:r>
              <w:rPr>
                <w:sz w:val="16"/>
              </w:rPr>
              <w:t>+215.2</w:t>
            </w:r>
          </w:p>
        </w:tc>
        <w:tc>
          <w:tcPr>
            <w:tcW w:type="dxa" w:w="1871"/>
          </w:tcPr>
          <w:p>
            <w:pPr>
              <w:jc w:val="center"/>
            </w:pPr>
            <w:r>
              <w:rPr>
                <w:sz w:val="16"/>
              </w:rPr>
              <w:t>+128.7</w:t>
            </w:r>
          </w:p>
        </w:tc>
        <w:tc>
          <w:tcPr>
            <w:tcW w:type="dxa" w:w="1871"/>
          </w:tcPr>
          <w:p>
            <w:pPr>
              <w:jc w:val="center"/>
            </w:pPr>
            <w:r>
              <w:rPr>
                <w:sz w:val="16"/>
              </w:rPr>
              <w:t>+21.1</w:t>
            </w:r>
          </w:p>
        </w:tc>
      </w:tr>
      <w:tr>
        <w:tc>
          <w:tcPr>
            <w:tcW w:type="dxa" w:w="1701"/>
          </w:tcPr>
          <w:p>
            <w:pPr>
              <w:jc w:val="center"/>
            </w:pPr>
            <w:r>
              <w:rPr>
                <w:sz w:val="16"/>
              </w:rPr>
              <w:t>Geographos</w:t>
            </w:r>
          </w:p>
        </w:tc>
        <w:tc>
          <w:tcPr>
            <w:tcW w:type="dxa" w:w="1134"/>
          </w:tcPr>
          <w:p>
            <w:pPr>
              <w:jc w:val="center"/>
            </w:pPr>
            <w:r>
              <w:rPr>
                <w:sz w:val="16"/>
              </w:rPr>
              <w:t>9,493</w:t>
            </w:r>
          </w:p>
        </w:tc>
        <w:tc>
          <w:tcPr>
            <w:tcW w:type="dxa" w:w="1871"/>
          </w:tcPr>
          <w:p>
            <w:pPr>
              <w:jc w:val="center"/>
            </w:pPr>
            <w:r>
              <w:rPr>
                <w:sz w:val="16"/>
              </w:rPr>
              <w:t>+193.2</w:t>
            </w:r>
          </w:p>
        </w:tc>
        <w:tc>
          <w:tcPr>
            <w:tcW w:type="dxa" w:w="1871"/>
          </w:tcPr>
          <w:p>
            <w:pPr>
              <w:jc w:val="center"/>
            </w:pPr>
            <w:r>
              <w:rPr>
                <w:sz w:val="16"/>
              </w:rPr>
              <w:t>+115.5</w:t>
            </w:r>
          </w:p>
        </w:tc>
        <w:tc>
          <w:tcPr>
            <w:tcW w:type="dxa" w:w="1871"/>
          </w:tcPr>
          <w:p>
            <w:pPr>
              <w:jc w:val="center"/>
            </w:pPr>
            <w:r>
              <w:rPr>
                <w:sz w:val="16"/>
              </w:rPr>
              <w:t>+18.9</w:t>
            </w:r>
          </w:p>
        </w:tc>
      </w:tr>
      <w:tr>
        <w:tc>
          <w:tcPr>
            <w:tcW w:type="dxa" w:w="1701"/>
          </w:tcPr>
          <w:p>
            <w:pPr>
              <w:jc w:val="center"/>
            </w:pPr>
            <w:r>
              <w:rPr>
                <w:sz w:val="16"/>
              </w:rPr>
              <w:t>Eros</w:t>
            </w:r>
          </w:p>
        </w:tc>
        <w:tc>
          <w:tcPr>
            <w:tcW w:type="dxa" w:w="1134"/>
          </w:tcPr>
          <w:p>
            <w:pPr>
              <w:jc w:val="center"/>
            </w:pPr>
            <w:r>
              <w:rPr>
                <w:sz w:val="16"/>
              </w:rPr>
              <w:t>17,975</w:t>
            </w:r>
          </w:p>
        </w:tc>
        <w:tc>
          <w:tcPr>
            <w:tcW w:type="dxa" w:w="1871"/>
          </w:tcPr>
          <w:p>
            <w:pPr>
              <w:jc w:val="center"/>
            </w:pPr>
            <w:r>
              <w:rPr>
                <w:sz w:val="16"/>
              </w:rPr>
              <w:t>−77.7</w:t>
            </w:r>
          </w:p>
        </w:tc>
        <w:tc>
          <w:tcPr>
            <w:tcW w:type="dxa" w:w="1871"/>
          </w:tcPr>
          <w:p>
            <w:pPr>
              <w:jc w:val="center"/>
            </w:pPr>
            <w:r>
              <w:rPr>
                <w:sz w:val="16"/>
              </w:rPr>
              <w:t>−46.4</w:t>
            </w:r>
          </w:p>
        </w:tc>
        <w:tc>
          <w:tcPr>
            <w:tcW w:type="dxa" w:w="1871"/>
          </w:tcPr>
          <w:p>
            <w:pPr>
              <w:jc w:val="center"/>
            </w:pPr>
            <w:r>
              <w:rPr>
                <w:sz w:val="16"/>
              </w:rPr>
              <w:t>−7.6</w:t>
            </w:r>
          </w:p>
        </w:tc>
      </w:tr>
      <w:tr>
        <w:tc>
          <w:tcPr>
            <w:tcW w:type="dxa" w:w="1701"/>
          </w:tcPr>
          <w:p>
            <w:pPr>
              <w:jc w:val="center"/>
            </w:pPr>
            <w:r>
              <w:rPr>
                <w:sz w:val="16"/>
              </w:rPr>
              <w:t>Itokawa</w:t>
            </w:r>
          </w:p>
        </w:tc>
        <w:tc>
          <w:tcPr>
            <w:tcW w:type="dxa" w:w="1134"/>
          </w:tcPr>
          <w:p>
            <w:pPr>
              <w:jc w:val="center"/>
            </w:pPr>
            <w:r>
              <w:rPr>
                <w:sz w:val="16"/>
              </w:rPr>
              <w:t>1,260</w:t>
            </w:r>
          </w:p>
        </w:tc>
        <w:tc>
          <w:tcPr>
            <w:tcW w:type="dxa" w:w="1871"/>
          </w:tcPr>
          <w:p>
            <w:pPr>
              <w:jc w:val="center"/>
            </w:pPr>
            <w:r>
              <w:rPr>
                <w:sz w:val="16"/>
              </w:rPr>
              <w:t>+39.5</w:t>
            </w:r>
          </w:p>
        </w:tc>
        <w:tc>
          <w:tcPr>
            <w:tcW w:type="dxa" w:w="1871"/>
          </w:tcPr>
          <w:p>
            <w:pPr>
              <w:jc w:val="center"/>
            </w:pPr>
            <w:r>
              <w:rPr>
                <w:sz w:val="16"/>
              </w:rPr>
              <w:t>+23.6</w:t>
            </w:r>
          </w:p>
        </w:tc>
        <w:tc>
          <w:tcPr>
            <w:tcW w:type="dxa" w:w="1871"/>
          </w:tcPr>
          <w:p>
            <w:pPr>
              <w:jc w:val="center"/>
            </w:pPr>
            <w:r>
              <w:rPr>
                <w:sz w:val="16"/>
              </w:rPr>
              <w:t>+3.9</w:t>
            </w:r>
          </w:p>
        </w:tc>
      </w:tr>
    </w:tbl>
    <w:p>
      <w:pPr>
        <w:jc w:val="center"/>
      </w:pPr>
      <w:r>
        <w:rPr>
          <w:i/>
          <w:sz w:val="20"/>
        </w:rPr>
        <w:t>Table 5.3: Complete CAD delta results across all ten NEOs and three injection archetypes, ranked by absolute targeted outlier delta magnitude</w:t>
      </w:r>
    </w:p>
    <w:p>
      <w:pPr>
        <w:jc w:val="both"/>
      </w:pPr>
      <w:r>
        <w:t>The results confirm the consistent rank ordering observed in the initial two-object study: for every object in the study set, the systematic bias archetype produces the largest CAD delta, followed by stochastic noise, with the targeted outlier archetype producing the smallest delta. This consistency across ten independent objects, spanning a 30-fold range of observation density and diverse orbital geometries, substantially strengthens confidence in the underlying injection methodology.</w:t>
      </w:r>
    </w:p>
    <w:p>
      <w:pPr>
        <w:jc w:val="both"/>
      </w:pPr>
      <w:r>
        <w:t>2012 DA14 and Didymos produce the largest absolute deltas in the study set (7,198 km and 5,385 km respectively under systematic bias), while Eros and Itokawa — both extensively tracked objects — produce the smallest (78 km and 40 km respectively). This pattern is examined statistically in Section 5.6.</w:t>
      </w:r>
    </w:p>
    <w:p>
      <w:pPr>
        <w:pStyle w:val="Heading2"/>
      </w:pPr>
      <w:r>
        <w:t>5.5 MCDA Risk Scoring</w:t>
      </w:r>
    </w:p>
    <w:p>
      <w:pPr>
        <w:jc w:val="both"/>
      </w:pPr>
      <w:r>
        <w:t>A Multi-Criteria Decision Analysis (MCDA) framework was applied to synthesise the experimental findings into structured risk scores. Five criteria were evaluated — Likelihood (L), Vulnerability (V), Attack Surface (A), Impact (I), and Consequence (C) — with weights L=0.15, V=0.20, A=0.15, I=0.30, C=0.20, reflecting the elevated priority assigned to Impact given the existential asymmetry of planetary defense failures. The composite Risk Score (RS) was computed as:</w:t>
      </w:r>
    </w:p>
    <w:p/>
    <w:p>
      <w:pPr>
        <w:jc w:val="center"/>
      </w:pPr>
      <w:r>
        <w:rPr>
          <w:b/>
        </w:rPr>
        <w:t>RS = (0.15×L + 0.20×V + 0.15×A + 0.30×I + 0.20×C) × 10</w:t>
      </w:r>
    </w:p>
    <w:p/>
    <w:p>
      <w:pPr>
        <w:jc w:val="both"/>
      </w:pPr>
      <w:r>
        <w:t>Applying this framework to the highest-risk scenarios identified in Table 5.3, both 2012 DA14 and Didymos — the two objects showing the largest absolute CAD deltas — are classified HIGH risk (RS &gt; 7.0) under the systematic bias archetype, consistent with the MCDA classifications established for Apophis and Bennu in the original two-object analysis. Bennu’s targeted outlier scenario also achieves a HIGH risk classification, driven by its elevated Vulnerability score reflecting its sparse observation record.</w:t>
      </w:r>
    </w:p>
    <w:p>
      <w:pPr>
        <w:pStyle w:val="Heading2"/>
      </w:pPr>
      <w:r>
        <w:t>5.6 Cross-Object Analysis and Novel Findings</w:t>
      </w:r>
    </w:p>
    <w:p>
      <w:pPr>
        <w:pStyle w:val="Heading3"/>
      </w:pPr>
      <w:r>
        <w:t>5.6.1 Observation Density as a Security Variable — Confirmed Across Ten Objects</w:t>
      </w:r>
    </w:p>
    <w:p>
      <w:pPr>
        <w:jc w:val="both"/>
      </w:pPr>
      <w:r>
        <w:t>The relationship between observation density and vulnerability to targeted outlier injection, first identified in the two-object Apophis/Bennu comparison, is substantially reinforced by the ten-object study. A Pearson correlation coefficient of −0.44 was calculated between observation count and absolute targeted outlier CAD delta across the full study set, indicating a moderate negative relationship: as observation count increases, orbital prediction error under targeted injection tends to decrease.</w:t>
      </w:r>
    </w:p>
    <w:p>
      <w:pPr>
        <w:jc w:val="both"/>
      </w:pPr>
      <w:r>
        <w:t>Eros, with 17,975 observations — the largest dataset in the study — produced the smallest targeted outlier delta (7.6 km). Bennu, with only 603 observations, produced a delta over 60 times larger (493.5 km) under an attack of identical parameters. This provides strong empirical support for observation density as a structural security variable in NEO tracking pipelines.</w:t>
      </w:r>
    </w:p>
    <w:p>
      <w:pPr>
        <w:pStyle w:val="Heading3"/>
      </w:pPr>
      <w:r>
        <w:t>5.6.2 Orbital Geometry as a Confounding Variable</w:t>
      </w:r>
    </w:p>
    <w:p>
      <w:pPr>
        <w:jc w:val="both"/>
      </w:pPr>
      <w:r>
        <w:t>The ten-object study also reveals an important nuance not apparent in the original two-object comparison. Didymos, with a moderate observation count of 5,930, produced the second-largest absolute CAD delta in the study (5,385 km under systematic bias) — substantially larger than would be predicted by observation density alone. This indicates that orbital geometry and geocentric distance at the simulation epoch also materially influence sensitivity to astrometric perturbation, independent of observation density. Objects on trajectories that place them at specific geometric configurations relative to Earth at the time of orbit determination may exhibit heightened sensitivity to angular perturbation in their tracking data, regardless of how well-observed they are historically.</w:t>
      </w:r>
    </w:p>
    <w:p>
      <w:pPr>
        <w:jc w:val="both"/>
      </w:pPr>
      <w:r>
        <w:t>This finding qualifies, rather than contradicts, the observation density hypothesis: observation density remains a significant and independently verifiable security variable, but it operates alongside orbital geometry as a compound risk factor. A comprehensive vulnerability assessment framework for NEO tracking pipelines should therefore account for both variables jointly.</w:t>
      </w:r>
    </w:p>
    <w:p>
      <w:pPr>
        <w:pStyle w:val="Heading3"/>
      </w:pPr>
      <w:r>
        <w:t>5.6.3 Sub-threshold Attack Stealthiness</w:t>
      </w:r>
    </w:p>
    <w:p>
      <w:pPr>
        <w:jc w:val="both"/>
      </w:pPr>
      <w:r>
        <w:t>Across the full study set, the targeted outlier archetype’s mean angular perturbation remains well below the MPC’s nominal quality filter threshold of 2–5 arcseconds for all ten objects, ranging from 0.06 arcseconds (Eros) to 1.0 arcseconds (Bennu). Despite this sub-threshold mean perturbation, measurable CAD deltas were recorded for every object in the study, ranging from 3.9 km to 1,068 km. This confirms, across a substantially larger and more diverse sample than the initial two-object study, that a small number of strategically selected, high-leverage observation corruptions can produce orbital prediction errors of practical significance while remaining statistically difficult to detect through routine quality screening.</w:t>
      </w:r>
    </w:p>
    <w:p>
      <w:pPr>
        <w:pStyle w:val="Heading3"/>
      </w:pPr>
      <w:r>
        <w:t>5.6.4 Summary of Findings</w:t>
      </w:r>
    </w:p>
    <w:p>
      <w:pPr>
        <w:jc w:val="both"/>
      </w:pPr>
      <w:r>
        <w:t>Four principal findings are identified from the ten-object experimental study:</w:t>
      </w:r>
    </w:p>
    <w:p>
      <w:pPr>
        <w:pStyle w:val="ListParagraph"/>
        <w:jc w:val="both"/>
      </w:pPr>
      <w:r>
        <w:t>Adversarial injection of ADES-formatted astrometric data produces measurable orbital prediction errors across all three tested archetypes and all ten study objects, with absolute CAD deltas ranging from approximately 4 km to 7,198 km.</w:t>
      </w:r>
    </w:p>
    <w:p>
      <w:pPr>
        <w:pStyle w:val="ListParagraph"/>
        <w:jc w:val="both"/>
      </w:pPr>
      <w:r>
        <w:t>Observation density is confirmed as a security variable across a ten-object sample, with a Pearson correlation coefficient of −0.44 between observation count and targeted outlier vulnerability.</w:t>
      </w:r>
    </w:p>
    <w:p>
      <w:pPr>
        <w:pStyle w:val="ListParagraph"/>
        <w:jc w:val="both"/>
      </w:pPr>
      <w:r>
        <w:t>Orbital geometry at the simulation epoch is identified as an additional, independent factor influencing sensitivity to astrometric perturbation, as demonstrated by Didymos’s disproportionately large CAD delta relative to its observation count.</w:t>
      </w:r>
    </w:p>
    <w:p>
      <w:pPr>
        <w:pStyle w:val="ListParagraph"/>
        <w:jc w:val="both"/>
      </w:pPr>
      <w:r>
        <w:t>Sub-threshold targeted injection — corrupting a small, fixed number of observations at magnitudes below MPC quality filter thresholds — produces measurable orbital prediction errors for every object in the study set, regardless of observation density, confirming the generalisability of this stealth attack vector.</w:t>
      </w:r>
    </w:p>
    <w:p/>
    <w:p>
      <w:pPr>
        <w:jc w:val="both"/>
      </w:pPr>
      <w:r>
        <w:t>These findings, now grounded in a ten-object empirical study, establish a robust foundation for the discussion of integrity assurance mechanisms and policy implications presented in Chapter 6.</w:t>
      </w:r>
    </w:p>
    <w:p>
      <w:r>
        <w:br w:type="page"/>
      </w:r>
    </w:p>
    <w:p>
      <w:pPr>
        <w:pStyle w:val="Heading1"/>
      </w:pPr>
      <w:r>
        <w:t>Chapter 6: Discussion</w:t>
      </w:r>
    </w:p>
    <w:p>
      <w:pPr>
        <w:pStyle w:val="Heading2"/>
      </w:pPr>
      <w:r>
        <w:t>6.1 Chapter Overview</w:t>
      </w:r>
    </w:p>
    <w:p>
      <w:pPr>
        <w:jc w:val="both"/>
      </w:pPr>
      <w:r>
        <w:t>This chapter situates the experimental findings of Chapter 5 within the broader theoretical, operational, and policy context established in the literature review. Section 6.2 interprets the experimental results in relation to the research question. Section 6.3 addresses the transport-layer versus data-creation-layer distinction as the foundational vulnerability framing of this research. Section 6.4 discusses the implications of observation density and orbital geometry as security variables, drawing on the full ten-object study. Section 6.5 examines the responsible disclosure and dual-use dimensions of this research. Section 6.6 discusses the jurisdictional and data sovereignty complexities specific to space-based observation infrastructure. Section 6.7 situates the findings within the broader space cybersecurity landscape. Section 6.8 acknowledges the principal limitations of this research.</w:t>
      </w:r>
    </w:p>
    <w:p>
      <w:pPr>
        <w:pStyle w:val="Heading2"/>
      </w:pPr>
      <w:r>
        <w:t>6.2 Interpretation of Findings in Relation to the Research Question</w:t>
      </w:r>
    </w:p>
    <w:p>
      <w:pPr>
        <w:jc w:val="both"/>
      </w:pPr>
      <w:r>
        <w:t>This dissertation asked: “How can experimental cybersecurity and integrity assurance mechanisms contribute toward improving resilience within Near-Earth Object tracking data pipelines under simulated adversarial manipulation scenarios?” The experimental results of Chapter 5, now spanning ten Near-Earth Objects, provide a robust, quantified answer to this question.</w:t>
      </w:r>
    </w:p>
    <w:p>
      <w:pPr>
        <w:jc w:val="both"/>
      </w:pPr>
      <w:r>
        <w:t>The findings demonstrate that adversarial manipulation of ADES-formatted astrometric data — applied at magnitudes plausibly below existing quality filter thresholds — produces measurable orbital prediction errors across a diverse study set. The consistency of this effect across ten independent objects, spanning a 30-fold range of observation density and varied orbital characteristics, substantially strengthens the internal validity of this conclusion beyond what a two-object study could support.</w:t>
      </w:r>
    </w:p>
    <w:p>
      <w:pPr>
        <w:jc w:val="both"/>
      </w:pPr>
      <w:r>
        <w:t>Critically, these results were achieved without any access to operational systems, classified data, or proprietary infrastructure. All data was sourced from publicly accessible repositories (MPC, JPL Horizons), and all manipulation was performed in a locally isolated simulation environment. This observation carries a dual implication: first, that the research methodology is fully reproducible and ethically bounded; second, and more soberly, that the technical barrier to performing the category of manipulation modelled here is lower than current regulatory and institutional awareness might suggest.</w:t>
      </w:r>
    </w:p>
    <w:p>
      <w:pPr>
        <w:jc w:val="both"/>
      </w:pPr>
      <w:r>
        <w:t>The research contribution is therefore twofold. Practically, it provides the first empirically grounded quantification of the orbital consequences of adversarial ADES data manipulation, validated across a substantial and diverse sample of Near-Earth Objects. Theoretically, it establishes observation density — and, as a secondary finding, orbital geometry — as previously uncharacterised security variables in NEO tracking pipelines.</w:t>
      </w:r>
    </w:p>
    <w:p>
      <w:pPr>
        <w:pStyle w:val="Heading2"/>
      </w:pPr>
      <w:r>
        <w:t>6.3 Transport-Layer Security Versus Data-Creation-Layer Integrity</w:t>
      </w:r>
    </w:p>
    <w:p>
      <w:pPr>
        <w:jc w:val="both"/>
      </w:pPr>
      <w:r>
        <w:t>A foundational distinction in the security architecture of the NEO tracking pipeline is the difference between transport-layer protection and data-creation-layer integrity assurance. Current MPC submission protocols rely primarily on transport-layer security mechanisms — specifically TLS (Transport Layer Security) encryption — to protect observation data during transmission between observing facilities and the MPC’s ingestion systems. While TLS provides robust protection against interception and modification of data in transit, it provides no assurance whatsoever regarding the authenticity or accuracy of the data at the point of its creation.</w:t>
      </w:r>
    </w:p>
    <w:p>
      <w:pPr>
        <w:ind w:left="680" w:right="680"/>
        <w:jc w:val="both"/>
      </w:pPr>
      <w:r>
        <w:rPr>
          <w:i/>
        </w:rPr>
        <w:t>Transport-layer security answers the question: “Was this data modified during transmission?” It cannot answer the question: “Was this data accurate when it was created?” These are fundamentally different security properties, and only the second is relevant to the threat modelled in this dissertation.</w:t>
      </w:r>
    </w:p>
    <w:p>
      <w:pPr>
        <w:jc w:val="both"/>
      </w:pPr>
      <w:r>
        <w:t>The ADES standard, as currently specified, does not mandate any cryptographic mechanism for attesting to the provenance or integrity of observation records at the point of creation. There is no digital signature requirement, no hash-based tamper evidence, and no observatory authentication protocol embedded in the ADES format itself. The MPC’s trust model therefore implicitly assumes that any syntactically valid ADES submission from a registered station code is authentic — an assumption that this research demonstrates to be a structural vulnerability rather than a defensible security posture.</w:t>
      </w:r>
    </w:p>
    <w:p>
      <w:pPr>
        <w:jc w:val="both"/>
      </w:pPr>
      <w:r>
        <w:t>This vulnerability is not unique to planetary defense. The broader space data architecture exhibits similar patterns: as Khan et al. (2025) document, approximately 50% of GEO satellite signals historically transmitted without strong encryption, and Celik et al. (2023) identify that even the CCSDS Space Data Link Security (SDLS) protocol operates at the link layer rather than providing end-to-end data provenance. The gap between transport-layer and data-layer security is therefore systemic across the space information domain, of which the MPC pipeline represents one particularly critical instance.</w:t>
      </w:r>
    </w:p>
    <w:p>
      <w:pPr>
        <w:jc w:val="both"/>
      </w:pPr>
      <w:r>
        <w:t>The practical implication is that effective integrity assurance for NEO tracking data requires mechanisms operating at the data creation layer — specifically, cryptographic provenance schemes that bind observation records to the observing instrument, time of acquisition, and operator identity at the moment of data generation.</w:t>
      </w:r>
    </w:p>
    <w:p>
      <w:pPr>
        <w:pStyle w:val="Heading2"/>
      </w:pPr>
      <w:r>
        <w:t>6.4 Observation Density and Orbital Geometry as Security Variables</w:t>
      </w:r>
    </w:p>
    <w:p>
      <w:pPr>
        <w:jc w:val="both"/>
      </w:pPr>
      <w:r>
        <w:t>The finding that observation density functions as a latent security variable in NEO tracking pipelines, now validated across ten objects, represents the most significant contribution of this research. The Pearson correlation coefficient of −0.44 between observation count and targeted outlier vulnerability, calculated across the full study set, provides quantitative evidence for a relationship that the original two-object comparison could only suggest.</w:t>
      </w:r>
    </w:p>
    <w:p>
      <w:pPr>
        <w:jc w:val="both"/>
      </w:pPr>
      <w:r>
        <w:t>This finding has direct policy implications not currently addressed in any published planetary defense data governance framework. For well-characterised objects like Eros, with 17,975 observations, a single corrupted observation is readily diluted within a large, statistically robust dataset. For sparsely tracked objects like Bennu or 2012 DA14, the same corrupted observation represents a proportionally larger fraction of the orbit determination input, making it correspondingly more influential on the computed orbital solution.</w:t>
      </w:r>
    </w:p>
    <w:p>
      <w:pPr>
        <w:jc w:val="both"/>
      </w:pPr>
      <w:r>
        <w:t>The ten-object study additionally identifies orbital geometry as a compounding factor. Didymos’s disproportionately large CAD delta relative to its moderate observation count demonstrates that geocentric distance and orbital configuration at the epoch of analysis independently influence sensitivity to astrometric perturbation. This suggests that a comprehensive risk assessment framework for NEO tracking pipelines must evaluate observation density and orbital geometry jointly, rather than relying on observation count as a sole proxy for vulnerability.</w:t>
      </w:r>
    </w:p>
    <w:p>
      <w:pPr>
        <w:jc w:val="both"/>
      </w:pPr>
      <w:r>
        <w:t>Extrapolating this finding to the broader NEO population is instructive. As of 2024, only 42–44% of NEOs larger than 140 metres have been catalogued (NASA, 2023). As the Vera C. Rubin Observatory’s Legacy Survey of Space and Time (LSST) begins operations and dramatically expands NEO discovery rates, a substantial fraction of newly discovered objects will initially be tracked by only a handful of observatories over short arcs — precisely the profile shown in this study to be most vulnerable to targeted injection attacks.</w:t>
      </w:r>
    </w:p>
    <w:p>
      <w:pPr>
        <w:jc w:val="both"/>
      </w:pPr>
      <w:r>
        <w:t>The policy recommendation arising from this finding is that data integrity assurance mechanisms should be prioritised and calibrated as a function of both observation density and orbital geometry, rather than applied uniformly across all objects. Objects falling below a defined observation threshold, or occupying orbital configurations shown to correlate with heightened sensitivity, should be subject to enhanced provenance verification and cross-observatory corroboration requirements.</w:t>
      </w:r>
    </w:p>
    <w:p>
      <w:pPr>
        <w:pStyle w:val="Heading2"/>
      </w:pPr>
      <w:r>
        <w:t>6.5 Responsible Disclosure and Dual-Use Considerations</w:t>
      </w:r>
    </w:p>
    <w:p>
      <w:pPr>
        <w:jc w:val="both"/>
      </w:pPr>
      <w:r>
        <w:t>Any research that demonstrates a previously uncharacterised attack vector against critical infrastructure carries an inherent dual-use tension: the same findings that enable defenders to strengthen a system also provide adversaries with a roadmap for exploitation. This dissertation acknowledges that tension explicitly.</w:t>
      </w:r>
    </w:p>
    <w:p>
      <w:pPr>
        <w:jc w:val="both"/>
      </w:pPr>
      <w:r>
        <w:t>First, the research models a category of attack that requires substantial prior knowledge, sustained access to the observation submission pathway, and the ability to maintain the appearance of legitimate observatory operations over time. The scenarios modelled here represent theoretical upper bounds on attack impact rather than operational instructions.</w:t>
      </w:r>
    </w:p>
    <w:p>
      <w:pPr>
        <w:jc w:val="both"/>
      </w:pPr>
      <w:r>
        <w:t>Second, this research is conducted entirely within a controlled simulation environment using publicly available data and openly documented tools. No operational systems were accessed, no real observations were modified, and no proprietary data was used, consistent with the responsible disclosure norms documented by CISA (2024) for space systems security research.</w:t>
      </w:r>
    </w:p>
    <w:p>
      <w:pPr>
        <w:jc w:val="both"/>
      </w:pPr>
      <w:r>
        <w:t>Third, the value of this research to defenders substantially outweighs its value to potential adversaries. What this research provides, uniquely, is a quantified, ten-object empirical understanding of the consequences of exploitation and a structured risk scoring framework that planetary defense agencies can use to prioritise hardening investments — precisely the type of empirically grounded intelligence previously absent from the literature.</w:t>
      </w:r>
    </w:p>
    <w:p>
      <w:pPr>
        <w:pStyle w:val="Heading2"/>
      </w:pPr>
      <w:r>
        <w:t>6.6 Jurisdictional Complexity and Data Sovereignty in Space Observation</w:t>
      </w:r>
    </w:p>
    <w:p>
      <w:pPr>
        <w:jc w:val="both"/>
      </w:pPr>
      <w:r>
        <w:t>A dimension of the NEO tracking data integrity problem that extends beyond technical cybersecurity into legal and governance territory concerns the jurisdictional status of space observation data. Astronomical observations are generated by instruments located in multiple countries operating under different national legal frameworks, data governance regimes, and regulatory obligations. The data they generate travels across international network infrastructure before being ingested by the MPC, hosted by the Smithsonian Astrophysical Observatory in the United States.</w:t>
      </w:r>
    </w:p>
    <w:p>
      <w:pPr>
        <w:jc w:val="both"/>
      </w:pPr>
      <w:r>
        <w:t>This jurisdictional complexity creates several specific governance gaps relevant to data integrity assurance. The General Data Protection Regulation (GDPR) applies to personal data processed in connection with individuals in the European Union; its territorial scope does not extend to astronomical observation data. The 1967 Outer Space Treaty establishes that space activities must be conducted for the benefit of all countries, but is entirely silent on data integrity obligations for ground-based observation infrastructure.</w:t>
      </w:r>
    </w:p>
    <w:p>
      <w:pPr>
        <w:jc w:val="both"/>
      </w:pPr>
      <w:r>
        <w:t>The practical consequence is that the legal framework governing NEO observation data integrity is a patchwork of national research data governance policies, voluntary MPC submission guidelines, and observatory-level institutional practices — none of which were designed with adversarial data manipulation in mind. Falco et al. (2022) identify analogous jurisdictional ambiguities in the broader space systems cybersecurity context.</w:t>
      </w:r>
    </w:p>
    <w:p>
      <w:pPr>
        <w:jc w:val="both"/>
      </w:pPr>
      <w:r>
        <w:t>This dissertation does not propose specific legal remedies for these jurisdictional gaps, which fall outside its methodological scope. It does, however, identify them as a necessary complement to technical integrity assurance solutions.</w:t>
      </w:r>
    </w:p>
    <w:p>
      <w:pPr>
        <w:pStyle w:val="Heading2"/>
      </w:pPr>
      <w:r>
        <w:t>6.7 Situating Findings within the Space Cybersecurity Landscape</w:t>
      </w:r>
    </w:p>
    <w:p>
      <w:pPr>
        <w:jc w:val="both"/>
      </w:pPr>
      <w:r>
        <w:t>The findings of this dissertation connect to and extend several strands of existing space cybersecurity research. Khan et al. (2025) established the taxonomy of space information network vulnerabilities; this research extends that analysis by demonstrating that the threat surface extends beyond the link layer to the data layer of the planetary defense pipeline — a domain Khan et al. explicitly identify as outside the scope of their analysis.</w:t>
      </w:r>
    </w:p>
    <w:p>
      <w:pPr>
        <w:jc w:val="both"/>
      </w:pPr>
      <w:r>
        <w:t>Falco et al.’s (2022) SoK framework categorises data integrity attacks as high-consequence and low-detection threats and identifies the absence of empirical research quantifying orbital consequences as a gap in the literature. This dissertation directly addresses that gap, providing the first simulation-based quantification of ADES data manipulation impact on NEO orbital solutions across ten objects.</w:t>
      </w:r>
    </w:p>
    <w:p>
      <w:pPr>
        <w:jc w:val="both"/>
      </w:pPr>
      <w:r>
        <w:t>The 2022 Viasat KA-SAT attack, analysed in detail by Trellix Advanced Research Center (2024), provides the operational precedent that grounds this research in demonstrated real-world adversarial intent. The GAO’s (2024) finding that NASA cybersecurity practices treat security as an optional consideration across many mission categories provides institutional context for why the vulnerability identified in this research exists and persists.</w:t>
      </w:r>
    </w:p>
    <w:p>
      <w:pPr>
        <w:pStyle w:val="Heading2"/>
      </w:pPr>
      <w:r>
        <w:t>6.8 Limitations of This Research</w:t>
      </w:r>
    </w:p>
    <w:p>
      <w:pPr>
        <w:jc w:val="both"/>
      </w:pPr>
      <w:r>
        <w:t>This research is subject to several limitations that must be acknowledged in interpreting its findings.</w:t>
      </w:r>
    </w:p>
    <w:p>
      <w:pPr>
        <w:jc w:val="both"/>
      </w:pPr>
      <w:r>
        <w:t>First, the GMAT simulation employs a simplified force model that excludes non-gravitational forces, higher-degree gravity harmonics, and the full planetary ephemeris perturbations used in operational orbit determination. The research focuses on relative CAD deltas between scenarios rather than absolute distance reproduction, and the delta values are internally consistent within the simulation framework.</w:t>
      </w:r>
    </w:p>
    <w:p>
      <w:pPr>
        <w:jc w:val="both"/>
      </w:pPr>
      <w:r>
        <w:t>Second, the adversarial perturbation magnitudes applied to the geocentric state vectors are derived from a simplified analytical model rather than a full orbit determination pipeline. A more rigorous treatment would compute the actual orbital solution from the manipulated observation datasets directly.</w:t>
      </w:r>
    </w:p>
    <w:p>
      <w:pPr>
        <w:jc w:val="both"/>
      </w:pPr>
      <w:r>
        <w:t>Third, while the ten-object study represents a substantial expansion beyond the initial two-object comparison, it remains a non-exhaustive sample of the broader NEO population, which numbers in the tens of thousands of catalogued objects. Generalising these findings further would benefit from an even larger comparative study.</w:t>
      </w:r>
    </w:p>
    <w:p>
      <w:pPr>
        <w:jc w:val="both"/>
      </w:pPr>
      <w:r>
        <w:t>Fourth, the injection archetypes modelled represent three specific classes of adversarial behaviour. More sophisticated attack strategies — including adaptive injection consistent with a specific false orbital solution, or coordinated multi-observatory injection — are not modelled, meaning the CAD deltas reported represent conservative lower bounds on the potential impact of a sophisticated, goal-directed attack.</w:t>
      </w:r>
    </w:p>
    <w:p>
      <w:pPr>
        <w:jc w:val="both"/>
      </w:pPr>
      <w:r>
        <w:t>Fifth, the CNN-based anomaly detection approach discussed as Objective 3 of this dissertation was evaluated theoretically rather than experimentally, owing to the computational and data preparation requirements of training a reliable detection model within the project timeline.</w:t>
      </w:r>
    </w:p>
    <w:p>
      <w:pPr>
        <w:pStyle w:val="Heading2"/>
      </w:pPr>
      <w:r>
        <w:t>6.9 Summary</w:t>
      </w:r>
    </w:p>
    <w:p>
      <w:pPr>
        <w:jc w:val="both"/>
      </w:pPr>
      <w:r>
        <w:t>This chapter has interpreted the experimental findings of Chapter 5 within a broader theoretical and policy context. The central argument of this dissertation — that the ADES-formatted NEO tracking pipeline is vulnerable to adversarial data manipulation at the data-creation layer, with measurable orbital consequences — is now supported by quantitative evidence across ten Near-Earth Objects, substantially strengthening the empirical foundation of this dissertation beyond its original two-object scope.</w:t>
      </w:r>
    </w:p>
    <w:p>
      <w:pPr>
        <w:jc w:val="both"/>
      </w:pPr>
      <w:r>
        <w:t>Taken together, these discussions position this dissertation not merely as a technical exercise in orbital mechanics simulation, but as a contribution to the interdisciplinary field of space infrastructure security — one that connects astrometric data governance, adversarial cybersecurity, orbital mechanics, and international space law in a way that the existing literature has not previously synthesised.</w:t>
      </w:r>
    </w:p>
    <w:sectPr w:rsidR="00940279" w:rsidSect="00927643">
      <w:headerReference w:type="even" r:id="rId8"/>
      <w:headerReference w:type="default" r:id="rId9"/>
      <w:footerReference w:type="even" r:id="rId10"/>
      <w:footerReference w:type="default" r:id="rId11"/>
      <w:headerReference w:type="first" r:id="rId12"/>
      <w:footerReference w:type="first" r:id="rId13"/>
      <w:pgSz w:w="11906" w:h="16838"/>
      <w:pgMar w:top="567" w:right="567" w:bottom="816" w:left="56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0BC4F1" w14:textId="77777777" w:rsidR="00FC3E00" w:rsidRDefault="00FC3E00" w:rsidP="00EB378D">
      <w:pPr>
        <w:spacing w:after="0" w:line="240" w:lineRule="auto"/>
      </w:pPr>
      <w:r>
        <w:separator/>
      </w:r>
    </w:p>
  </w:endnote>
  <w:endnote w:type="continuationSeparator" w:id="0">
    <w:p w14:paraId="4FCDDDFF" w14:textId="77777777" w:rsidR="00FC3E00" w:rsidRDefault="00FC3E00" w:rsidP="00EB3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A68AB9" w14:textId="77777777" w:rsidR="000E6000" w:rsidRDefault="000E6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261A7" w14:textId="77777777" w:rsidR="004B0617" w:rsidRPr="004B0617" w:rsidRDefault="004B0617" w:rsidP="00CA3B5B">
    <w:pPr>
      <w:pBdr>
        <w:top w:val="single" w:sz="4" w:space="4" w:color="2E75B6"/>
      </w:pBdr>
      <w:spacing w:before="60"/>
      <w:jc w:val="center"/>
      <w:rPr>
        <w:rFonts w:ascii="Arial" w:eastAsia="Arial" w:hAnsi="Arial" w:cs="Arial"/>
        <w:i/>
        <w:iCs/>
        <w:color w:val="595959"/>
        <w:sz w:val="17"/>
        <w:szCs w:val="17"/>
      </w:rPr>
    </w:pPr>
    <w:r w:rsidRPr="00882651">
      <w:rPr>
        <w:rFonts w:ascii="Arial" w:eastAsia="Arial" w:hAnsi="Arial" w:cs="Arial"/>
        <w:color w:val="595959"/>
        <w:sz w:val="17"/>
        <w:szCs w:val="17"/>
      </w:rPr>
      <w:t>Integrity Assurance in Planetary Defense</w:t>
    </w:r>
    <w:r>
      <w:rPr>
        <w:rFonts w:ascii="Arial" w:eastAsia="Arial" w:hAnsi="Arial" w:cs="Arial"/>
        <w:color w:val="595959"/>
        <w:sz w:val="17"/>
        <w:szCs w:val="17"/>
      </w:rPr>
      <w:t xml:space="preserve"> </w:t>
    </w:r>
    <w:r w:rsidRPr="00882651">
      <w:rPr>
        <w:rFonts w:ascii="Arial" w:eastAsia="Arial" w:hAnsi="Arial" w:cs="Arial"/>
        <w:color w:val="595959"/>
        <w:sz w:val="17"/>
        <w:szCs w:val="17"/>
      </w:rPr>
      <w:t>:</w:t>
    </w:r>
    <w:r>
      <w:rPr>
        <w:rFonts w:ascii="Arial" w:eastAsia="Arial" w:hAnsi="Arial" w:cs="Arial"/>
        <w:color w:val="595959"/>
        <w:sz w:val="17"/>
        <w:szCs w:val="17"/>
      </w:rPr>
      <w:t xml:space="preserve"> </w:t>
    </w:r>
    <w:r w:rsidRPr="004B0617">
      <w:rPr>
        <w:rFonts w:ascii="Arial" w:eastAsia="Arial" w:hAnsi="Arial" w:cs="Arial"/>
        <w:i/>
        <w:iCs/>
        <w:color w:val="595959"/>
        <w:sz w:val="17"/>
        <w:szCs w:val="17"/>
      </w:rPr>
      <w:t>An Experimental Cybersecurity Framework for Near-Earth Object (NEO) Tracking Pipelines</w:t>
    </w:r>
  </w:p>
  <w:p w14:paraId="6095A3C3" w14:textId="790434D2" w:rsidR="004B0617" w:rsidRDefault="00EB378D" w:rsidP="004B0617">
    <w:pPr>
      <w:pBdr>
        <w:top w:val="single" w:sz="4" w:space="4" w:color="2E75B6"/>
      </w:pBdr>
      <w:spacing w:before="60"/>
      <w:jc w:val="center"/>
      <w:rPr>
        <w:rFonts w:ascii="Arial" w:eastAsia="Arial" w:hAnsi="Arial" w:cs="Arial"/>
        <w:color w:val="595959"/>
        <w:sz w:val="17"/>
        <w:szCs w:val="17"/>
      </w:rPr>
    </w:pPr>
    <w:r>
      <w:rPr>
        <w:rFonts w:ascii="Arial" w:eastAsia="Arial" w:hAnsi="Arial" w:cs="Arial"/>
        <w:color w:val="595959"/>
        <w:sz w:val="17"/>
        <w:szCs w:val="17"/>
      </w:rPr>
      <w:t xml:space="preserve">Page </w:t>
    </w:r>
    <w:r>
      <w:rPr>
        <w:color w:val="595959"/>
        <w:sz w:val="17"/>
        <w:szCs w:val="17"/>
      </w:rPr>
      <w:fldChar w:fldCharType="begin"/>
    </w:r>
    <w:r>
      <w:rPr>
        <w:rFonts w:ascii="Arial" w:eastAsia="Arial" w:hAnsi="Arial" w:cs="Arial"/>
        <w:color w:val="595959"/>
        <w:sz w:val="17"/>
        <w:szCs w:val="17"/>
      </w:rPr>
      <w:instrText>PAGE</w:instrText>
    </w:r>
    <w:r>
      <w:rPr>
        <w:color w:val="595959"/>
        <w:sz w:val="17"/>
        <w:szCs w:val="17"/>
      </w:rPr>
      <w:fldChar w:fldCharType="separate"/>
    </w:r>
    <w:r>
      <w:rPr>
        <w:noProof/>
        <w:color w:val="595959"/>
        <w:sz w:val="17"/>
        <w:szCs w:val="17"/>
      </w:rPr>
      <w:t>1</w:t>
    </w:r>
    <w:r>
      <w:rPr>
        <w:color w:val="595959"/>
        <w:sz w:val="17"/>
        <w:szCs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549F24" w14:textId="77777777" w:rsidR="000E6000" w:rsidRDefault="000E6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686F0A" w14:textId="77777777" w:rsidR="00FC3E00" w:rsidRDefault="00FC3E00" w:rsidP="00EB378D">
      <w:pPr>
        <w:spacing w:after="0" w:line="240" w:lineRule="auto"/>
      </w:pPr>
      <w:r>
        <w:separator/>
      </w:r>
    </w:p>
  </w:footnote>
  <w:footnote w:type="continuationSeparator" w:id="0">
    <w:p w14:paraId="5EE5EC32" w14:textId="77777777" w:rsidR="00FC3E00" w:rsidRDefault="00FC3E00" w:rsidP="00EB3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7A0213" w14:textId="1482C624" w:rsidR="000E6000" w:rsidRDefault="00FC3E00">
    <w:pPr>
      <w:pStyle w:val="Header"/>
    </w:pPr>
    <w:r>
      <w:rPr>
        <w:noProof/>
      </w:rPr>
      <w:pict w14:anchorId="4ECB70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242186" o:spid="_x0000_s1027" type="#_x0000_t136" alt="" style="position:absolute;margin-left:0;margin-top:0;width:717pt;height:146pt;rotation:315;z-index:-251630592;mso-wrap-edited:f;mso-width-percent:0;mso-height-percent:0;mso-position-horizontal:center;mso-position-horizontal-relative:margin;mso-position-vertical:center;mso-position-vertical-relative:margin;mso-width-percent:0;mso-height-percent:0" o:allowincell="f" fillcolor="silver" stroked="f">
          <v:textpath style="font-family:&quot;Calibri Light&quot;;font-size:120pt" string="CONFIDENTI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11D3B" w14:textId="3A0A18A8" w:rsidR="004B0617" w:rsidRPr="004B0617" w:rsidRDefault="00FC3E00" w:rsidP="004B0617">
    <w:pPr>
      <w:pStyle w:val="NoSpacing"/>
      <w:rPr>
        <w:rFonts w:eastAsia="Arial"/>
        <w:sz w:val="18"/>
        <w:szCs w:val="18"/>
      </w:rPr>
    </w:pPr>
    <w:r>
      <w:rPr>
        <w:noProof/>
      </w:rPr>
      <w:pict w14:anchorId="573D54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242187" o:spid="_x0000_s1026" type="#_x0000_t136" alt="" style="position:absolute;margin-left:0;margin-top:0;width:717pt;height:146pt;rotation:315;z-index:-251628544;mso-wrap-edited:f;mso-width-percent:0;mso-height-percent:0;mso-position-horizontal:center;mso-position-horizontal-relative:margin;mso-position-vertical:center;mso-position-vertical-relative:margin;mso-width-percent:0;mso-height-percent:0" o:allowincell="f" fillcolor="silver" stroked="f">
          <v:textpath style="font-family:&quot;Calibri Light&quot;;font-size:120pt" string="CONFIDENTIAL"/>
        </v:shape>
      </w:pict>
    </w:r>
    <w:r w:rsidR="004B0617" w:rsidRPr="004B0617">
      <w:rPr>
        <w:rFonts w:eastAsia="Arial"/>
        <w:sz w:val="18"/>
        <w:szCs w:val="18"/>
      </w:rPr>
      <w:t>DISSERTATION FOR CYBER SECURITY AND COMPUTER NETWORKS (TRI3 AF-2025/6)</w:t>
    </w:r>
  </w:p>
  <w:p w14:paraId="714D6DA9" w14:textId="512DEC08" w:rsidR="00EB378D" w:rsidRPr="00CA456B" w:rsidRDefault="004B0617" w:rsidP="004B0617">
    <w:pPr>
      <w:pStyle w:val="NoSpacing"/>
      <w:rPr>
        <w:sz w:val="18"/>
        <w:szCs w:val="18"/>
      </w:rPr>
    </w:pPr>
    <w:r w:rsidRPr="004B0617">
      <w:rPr>
        <w:rFonts w:eastAsia="Arial"/>
        <w:sz w:val="18"/>
        <w:szCs w:val="18"/>
      </w:rPr>
      <w:t>55-710263-AF-20256</w:t>
    </w:r>
    <w:r w:rsidR="00EB378D" w:rsidRPr="00CA456B">
      <w:rPr>
        <w:rFonts w:eastAsia="Arial"/>
        <w:sz w:val="18"/>
        <w:szCs w:val="18"/>
      </w:rPr>
      <w:t xml:space="preserve">      </w:t>
    </w:r>
    <w:r w:rsidR="00CF5FA6" w:rsidRPr="00CA456B">
      <w:rPr>
        <w:rFonts w:eastAsia="Arial"/>
        <w:sz w:val="18"/>
        <w:szCs w:val="18"/>
      </w:rPr>
      <w:t xml:space="preserve">   </w:t>
    </w:r>
    <w:r w:rsidR="00EB378D" w:rsidRPr="00CA456B">
      <w:rPr>
        <w:rFonts w:eastAsia="Arial"/>
        <w:sz w:val="18"/>
        <w:szCs w:val="18"/>
      </w:rPr>
      <w:t xml:space="preserve"> </w:t>
    </w:r>
    <w:r>
      <w:rPr>
        <w:rFonts w:eastAsia="Arial"/>
        <w:sz w:val="18"/>
        <w:szCs w:val="18"/>
      </w:rPr>
      <w:t xml:space="preserve">       </w:t>
    </w:r>
    <w:r w:rsidR="00EB378D" w:rsidRPr="00CA456B">
      <w:rPr>
        <w:rFonts w:eastAsia="Arial"/>
        <w:sz w:val="18"/>
        <w:szCs w:val="18"/>
      </w:rPr>
      <w:t xml:space="preserve">  </w:t>
    </w:r>
    <w:r w:rsidR="00CF5FA6" w:rsidRPr="00CA456B">
      <w:rPr>
        <w:rFonts w:eastAsia="Arial"/>
        <w:sz w:val="18"/>
        <w:szCs w:val="18"/>
      </w:rPr>
      <w:t xml:space="preserve">  </w:t>
    </w:r>
    <w:r>
      <w:rPr>
        <w:rFonts w:eastAsia="Arial"/>
        <w:sz w:val="18"/>
        <w:szCs w:val="18"/>
      </w:rPr>
      <w:t xml:space="preserve">                 </w:t>
    </w:r>
    <w:r w:rsidR="00CF5FA6" w:rsidRPr="00CA456B">
      <w:rPr>
        <w:rFonts w:eastAsia="Arial"/>
        <w:sz w:val="18"/>
        <w:szCs w:val="18"/>
      </w:rPr>
      <w:t xml:space="preserve"> </w:t>
    </w:r>
    <w:r w:rsidR="004B48BC">
      <w:rPr>
        <w:rFonts w:eastAsia="Arial"/>
        <w:sz w:val="18"/>
        <w:szCs w:val="18"/>
      </w:rPr>
      <w:t xml:space="preserve">  </w:t>
    </w:r>
    <w:r>
      <w:rPr>
        <w:rFonts w:eastAsia="Arial"/>
        <w:sz w:val="18"/>
        <w:szCs w:val="18"/>
      </w:rPr>
      <w:t xml:space="preserve"> </w:t>
    </w:r>
    <w:r w:rsidR="004B48BC">
      <w:rPr>
        <w:rFonts w:eastAsia="Arial"/>
        <w:sz w:val="18"/>
        <w:szCs w:val="18"/>
      </w:rPr>
      <w:t xml:space="preserve">                </w:t>
    </w:r>
    <w:r>
      <w:rPr>
        <w:rFonts w:eastAsia="Arial"/>
        <w:sz w:val="18"/>
        <w:szCs w:val="18"/>
      </w:rPr>
      <w:t xml:space="preserve">    </w:t>
    </w:r>
    <w:r w:rsidR="004B48BC">
      <w:rPr>
        <w:rFonts w:eastAsia="Arial"/>
        <w:sz w:val="18"/>
        <w:szCs w:val="18"/>
      </w:rPr>
      <w:t xml:space="preserve"> </w:t>
    </w:r>
    <w:r w:rsidR="00EB378D" w:rsidRPr="00CA456B">
      <w:rPr>
        <w:rFonts w:eastAsia="Arial"/>
        <w:sz w:val="18"/>
        <w:szCs w:val="18"/>
      </w:rPr>
      <w:t xml:space="preserve">|  Sheffield Hallam University  | </w:t>
    </w:r>
    <w:r w:rsidR="004B48BC" w:rsidRPr="00CA456B">
      <w:rPr>
        <w:rFonts w:eastAsia="Arial"/>
        <w:sz w:val="18"/>
        <w:szCs w:val="18"/>
      </w:rPr>
      <w:t xml:space="preserve">    </w:t>
    </w:r>
    <w:r>
      <w:rPr>
        <w:rFonts w:eastAsia="Arial"/>
        <w:sz w:val="18"/>
        <w:szCs w:val="18"/>
      </w:rPr>
      <w:t xml:space="preserve"> </w:t>
    </w:r>
    <w:r w:rsidR="004B48BC" w:rsidRPr="00CA456B">
      <w:rPr>
        <w:rFonts w:eastAsia="Arial"/>
        <w:sz w:val="18"/>
        <w:szCs w:val="18"/>
      </w:rPr>
      <w:t xml:space="preserve"> </w:t>
    </w:r>
    <w:r w:rsidR="00EB378D" w:rsidRPr="00CA456B">
      <w:rPr>
        <w:rFonts w:eastAsia="Arial"/>
        <w:sz w:val="18"/>
        <w:szCs w:val="18"/>
      </w:rPr>
      <w:t xml:space="preserve">          </w:t>
    </w:r>
    <w:r>
      <w:rPr>
        <w:rFonts w:eastAsia="Arial"/>
        <w:sz w:val="18"/>
        <w:szCs w:val="18"/>
      </w:rPr>
      <w:t xml:space="preserve">     </w:t>
    </w:r>
    <w:r w:rsidR="00EB378D" w:rsidRPr="00CA456B">
      <w:rPr>
        <w:rFonts w:eastAsia="Arial"/>
        <w:sz w:val="18"/>
        <w:szCs w:val="18"/>
      </w:rPr>
      <w:t xml:space="preserve"> </w:t>
    </w:r>
    <w:r w:rsidR="00CF5FA6" w:rsidRPr="00CA456B">
      <w:rPr>
        <w:rFonts w:eastAsia="Arial"/>
        <w:sz w:val="18"/>
        <w:szCs w:val="18"/>
      </w:rPr>
      <w:t xml:space="preserve">  </w:t>
    </w:r>
    <w:r>
      <w:rPr>
        <w:rFonts w:eastAsia="Arial"/>
        <w:sz w:val="18"/>
        <w:szCs w:val="18"/>
      </w:rPr>
      <w:t xml:space="preserve">       </w:t>
    </w:r>
    <w:r w:rsidR="00CF5FA6" w:rsidRPr="00CA456B">
      <w:rPr>
        <w:rFonts w:eastAsia="Arial"/>
        <w:sz w:val="18"/>
        <w:szCs w:val="18"/>
      </w:rPr>
      <w:t xml:space="preserve">             </w:t>
    </w:r>
    <w:r w:rsidR="004B48BC">
      <w:rPr>
        <w:rFonts w:eastAsia="Arial"/>
        <w:sz w:val="18"/>
        <w:szCs w:val="18"/>
      </w:rPr>
      <w:t xml:space="preserve">         </w:t>
    </w:r>
    <w:r w:rsidR="00CF5FA6" w:rsidRPr="00CA456B">
      <w:rPr>
        <w:rFonts w:eastAsia="Arial"/>
        <w:sz w:val="18"/>
        <w:szCs w:val="18"/>
      </w:rPr>
      <w:t xml:space="preserve">      </w:t>
    </w:r>
    <w:r w:rsidR="00EB378D" w:rsidRPr="00CA456B">
      <w:rPr>
        <w:rFonts w:eastAsia="Arial"/>
        <w:sz w:val="18"/>
        <w:szCs w:val="18"/>
      </w:rPr>
      <w:t xml:space="preserve">              MSc Cybersecurity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ECCDE" w14:textId="75E45D57" w:rsidR="000E6000" w:rsidRDefault="00FC3E00">
    <w:pPr>
      <w:pStyle w:val="Header"/>
    </w:pPr>
    <w:r>
      <w:rPr>
        <w:noProof/>
      </w:rPr>
      <w:pict w14:anchorId="6EEE67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74242185" o:spid="_x0000_s1025" type="#_x0000_t136" alt="" style="position:absolute;margin-left:0;margin-top:0;width:717pt;height:146pt;rotation:315;z-index:-251632640;mso-wrap-edited:f;mso-width-percent:0;mso-height-percent:0;mso-position-horizontal:center;mso-position-horizontal-relative:margin;mso-position-vertical:center;mso-position-vertical-relative:margin;mso-width-percent:0;mso-height-percent:0" o:allowincell="f" fillcolor="silver" stroked="f">
          <v:textpath style="font-family:&quot;Calibri Light&quot;;font-size:120pt" string="CONFIDENTI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38E65E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625954"/>
    <w:multiLevelType w:val="hybridMultilevel"/>
    <w:tmpl w:val="741CE09A"/>
    <w:lvl w:ilvl="0" w:tplc="0016B4A2">
      <w:start w:val="1"/>
      <w:numFmt w:val="decimal"/>
      <w:lvlText w:val="%1."/>
      <w:lvlJc w:val="left"/>
      <w:pPr>
        <w:ind w:left="720" w:hanging="360"/>
      </w:pPr>
    </w:lvl>
    <w:lvl w:ilvl="1" w:tplc="5AEA1838">
      <w:numFmt w:val="decimal"/>
      <w:lvlText w:val=""/>
      <w:lvlJc w:val="left"/>
    </w:lvl>
    <w:lvl w:ilvl="2" w:tplc="A52CFF68">
      <w:numFmt w:val="decimal"/>
      <w:lvlText w:val=""/>
      <w:lvlJc w:val="left"/>
    </w:lvl>
    <w:lvl w:ilvl="3" w:tplc="CCF8D2A4">
      <w:numFmt w:val="decimal"/>
      <w:lvlText w:val=""/>
      <w:lvlJc w:val="left"/>
    </w:lvl>
    <w:lvl w:ilvl="4" w:tplc="5750F0EE">
      <w:numFmt w:val="decimal"/>
      <w:lvlText w:val=""/>
      <w:lvlJc w:val="left"/>
    </w:lvl>
    <w:lvl w:ilvl="5" w:tplc="5E60E034">
      <w:numFmt w:val="decimal"/>
      <w:lvlText w:val=""/>
      <w:lvlJc w:val="left"/>
    </w:lvl>
    <w:lvl w:ilvl="6" w:tplc="ED243E6C">
      <w:numFmt w:val="decimal"/>
      <w:lvlText w:val=""/>
      <w:lvlJc w:val="left"/>
    </w:lvl>
    <w:lvl w:ilvl="7" w:tplc="118A5F38">
      <w:numFmt w:val="decimal"/>
      <w:lvlText w:val=""/>
      <w:lvlJc w:val="left"/>
    </w:lvl>
    <w:lvl w:ilvl="8" w:tplc="6980CE00">
      <w:numFmt w:val="decimal"/>
      <w:lvlText w:val=""/>
      <w:lvlJc w:val="left"/>
    </w:lvl>
  </w:abstractNum>
  <w:abstractNum w:abstractNumId="2" w15:restartNumberingAfterBreak="0">
    <w:nsid w:val="7F3154D0"/>
    <w:multiLevelType w:val="multilevel"/>
    <w:tmpl w:val="1D98B72A"/>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170805">
    <w:abstractNumId w:val="1"/>
    <w:lvlOverride w:ilvl="0">
      <w:startOverride w:val="1"/>
    </w:lvlOverride>
  </w:num>
  <w:num w:numId="2" w16cid:durableId="1580747800">
    <w:abstractNumId w:val="2"/>
  </w:num>
  <w:num w:numId="3" w16cid:durableId="6532661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8D"/>
    <w:rsid w:val="00001B70"/>
    <w:rsid w:val="00016F5E"/>
    <w:rsid w:val="00025B0F"/>
    <w:rsid w:val="0006724F"/>
    <w:rsid w:val="000753A1"/>
    <w:rsid w:val="00087C6A"/>
    <w:rsid w:val="000E6000"/>
    <w:rsid w:val="000F0377"/>
    <w:rsid w:val="000F69BB"/>
    <w:rsid w:val="00107EB7"/>
    <w:rsid w:val="001101F3"/>
    <w:rsid w:val="00146E8D"/>
    <w:rsid w:val="001B02E9"/>
    <w:rsid w:val="001C1F81"/>
    <w:rsid w:val="001C203A"/>
    <w:rsid w:val="001E2575"/>
    <w:rsid w:val="00213ED1"/>
    <w:rsid w:val="0023542A"/>
    <w:rsid w:val="00293652"/>
    <w:rsid w:val="002C4BE7"/>
    <w:rsid w:val="003127D3"/>
    <w:rsid w:val="003218DE"/>
    <w:rsid w:val="003A0210"/>
    <w:rsid w:val="003D4A08"/>
    <w:rsid w:val="003E4ACB"/>
    <w:rsid w:val="003F2463"/>
    <w:rsid w:val="00400523"/>
    <w:rsid w:val="00403BD2"/>
    <w:rsid w:val="00410DBE"/>
    <w:rsid w:val="0042633B"/>
    <w:rsid w:val="004B0617"/>
    <w:rsid w:val="004B2D97"/>
    <w:rsid w:val="004B48BC"/>
    <w:rsid w:val="004B5716"/>
    <w:rsid w:val="004C6AF3"/>
    <w:rsid w:val="004E1B9E"/>
    <w:rsid w:val="004F7D2A"/>
    <w:rsid w:val="00511543"/>
    <w:rsid w:val="00550023"/>
    <w:rsid w:val="00557502"/>
    <w:rsid w:val="00567EF5"/>
    <w:rsid w:val="005A1DD5"/>
    <w:rsid w:val="005A6384"/>
    <w:rsid w:val="005B49C2"/>
    <w:rsid w:val="00626291"/>
    <w:rsid w:val="00681961"/>
    <w:rsid w:val="006C04B3"/>
    <w:rsid w:val="006E70B2"/>
    <w:rsid w:val="006F1EAC"/>
    <w:rsid w:val="006F2A44"/>
    <w:rsid w:val="0070477F"/>
    <w:rsid w:val="00797B54"/>
    <w:rsid w:val="007C5A5C"/>
    <w:rsid w:val="0080254E"/>
    <w:rsid w:val="00865118"/>
    <w:rsid w:val="00882651"/>
    <w:rsid w:val="008C4C80"/>
    <w:rsid w:val="008D0A06"/>
    <w:rsid w:val="008D46A1"/>
    <w:rsid w:val="00914F4C"/>
    <w:rsid w:val="00926DD9"/>
    <w:rsid w:val="00927643"/>
    <w:rsid w:val="00940279"/>
    <w:rsid w:val="009524A9"/>
    <w:rsid w:val="00967023"/>
    <w:rsid w:val="00993CB5"/>
    <w:rsid w:val="009A1317"/>
    <w:rsid w:val="009A557A"/>
    <w:rsid w:val="00A40786"/>
    <w:rsid w:val="00A40EAA"/>
    <w:rsid w:val="00A65503"/>
    <w:rsid w:val="00AA6881"/>
    <w:rsid w:val="00AC1640"/>
    <w:rsid w:val="00AC21C3"/>
    <w:rsid w:val="00AE73C1"/>
    <w:rsid w:val="00AF18CA"/>
    <w:rsid w:val="00B3426F"/>
    <w:rsid w:val="00B47E4C"/>
    <w:rsid w:val="00B70896"/>
    <w:rsid w:val="00BA7295"/>
    <w:rsid w:val="00BB4F46"/>
    <w:rsid w:val="00BB5D08"/>
    <w:rsid w:val="00BE2169"/>
    <w:rsid w:val="00BF505B"/>
    <w:rsid w:val="00C33BE0"/>
    <w:rsid w:val="00C50D25"/>
    <w:rsid w:val="00C66C13"/>
    <w:rsid w:val="00C81978"/>
    <w:rsid w:val="00C87154"/>
    <w:rsid w:val="00CA3B5B"/>
    <w:rsid w:val="00CA456B"/>
    <w:rsid w:val="00CF5FA6"/>
    <w:rsid w:val="00D216B6"/>
    <w:rsid w:val="00D358E2"/>
    <w:rsid w:val="00D3659A"/>
    <w:rsid w:val="00D5689E"/>
    <w:rsid w:val="00D71080"/>
    <w:rsid w:val="00D84ADF"/>
    <w:rsid w:val="00DB71BA"/>
    <w:rsid w:val="00DF08DE"/>
    <w:rsid w:val="00E01AB5"/>
    <w:rsid w:val="00E0664D"/>
    <w:rsid w:val="00E1099C"/>
    <w:rsid w:val="00E62F4D"/>
    <w:rsid w:val="00E7005E"/>
    <w:rsid w:val="00E7335E"/>
    <w:rsid w:val="00E96452"/>
    <w:rsid w:val="00EB378D"/>
    <w:rsid w:val="00ED49F4"/>
    <w:rsid w:val="00F02EE9"/>
    <w:rsid w:val="00F1159E"/>
    <w:rsid w:val="00F15860"/>
    <w:rsid w:val="00F66E0F"/>
    <w:rsid w:val="00FA3866"/>
    <w:rsid w:val="00FB3E50"/>
    <w:rsid w:val="00FC3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5BB6F"/>
  <w15:chartTrackingRefBased/>
  <w15:docId w15:val="{4A8001F3-01B8-1840-850B-9DE1FF3F3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B54"/>
  </w:style>
  <w:style w:type="paragraph" w:styleId="Heading1">
    <w:name w:val="heading 1"/>
    <w:basedOn w:val="Normal"/>
    <w:next w:val="Normal"/>
    <w:link w:val="Heading1Char"/>
    <w:uiPriority w:val="9"/>
    <w:qFormat/>
    <w:rsid w:val="003218DE"/>
    <w:pPr>
      <w:keepNext/>
      <w:keepLines/>
      <w:pBdr>
        <w:bottom w:val="single" w:sz="8" w:space="4" w:color="000000" w:themeColor="text1"/>
      </w:pBdr>
      <w:spacing w:before="120" w:after="120"/>
      <w:outlineLvl w:val="0"/>
    </w:pPr>
    <w:rPr>
      <w:rFonts w:eastAsia="Arial" w:cstheme="minorHAnsi"/>
      <w:b/>
      <w:bCs/>
      <w:sz w:val="28"/>
      <w:szCs w:val="28"/>
    </w:rPr>
  </w:style>
  <w:style w:type="paragraph" w:styleId="Heading2">
    <w:name w:val="heading 2"/>
    <w:basedOn w:val="Normal"/>
    <w:next w:val="Normal"/>
    <w:link w:val="Heading2Char"/>
    <w:uiPriority w:val="9"/>
    <w:unhideWhenUsed/>
    <w:qFormat/>
    <w:rsid w:val="00882651"/>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4B0617"/>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EB378D"/>
    <w:pPr>
      <w:keepNext/>
      <w:keepLines/>
      <w:spacing w:before="200" w:after="0"/>
      <w:outlineLvl w:val="3"/>
    </w:pPr>
    <w:rPr>
      <w:rFonts w:asciiTheme="majorHAnsi" w:eastAsiaTheme="majorEastAsia" w:hAnsiTheme="majorHAnsi" w:cstheme="majorBidi"/>
      <w:b/>
      <w:bCs/>
      <w:i/>
      <w:iCs/>
      <w:color w:val="F07F09" w:themeColor="accent1"/>
    </w:rPr>
  </w:style>
  <w:style w:type="paragraph" w:styleId="Heading5">
    <w:name w:val="heading 5"/>
    <w:basedOn w:val="Normal"/>
    <w:next w:val="Normal"/>
    <w:link w:val="Heading5Char"/>
    <w:uiPriority w:val="9"/>
    <w:semiHidden/>
    <w:unhideWhenUsed/>
    <w:qFormat/>
    <w:rsid w:val="00EB378D"/>
    <w:pPr>
      <w:keepNext/>
      <w:keepLines/>
      <w:spacing w:before="200" w:after="0"/>
      <w:outlineLvl w:val="4"/>
    </w:pPr>
    <w:rPr>
      <w:rFonts w:asciiTheme="majorHAnsi" w:eastAsiaTheme="majorEastAsia" w:hAnsiTheme="majorHAnsi" w:cstheme="majorBidi"/>
      <w:color w:val="773F04" w:themeColor="accent1" w:themeShade="7F"/>
    </w:rPr>
  </w:style>
  <w:style w:type="paragraph" w:styleId="Heading6">
    <w:name w:val="heading 6"/>
    <w:basedOn w:val="Normal"/>
    <w:next w:val="Normal"/>
    <w:link w:val="Heading6Char"/>
    <w:uiPriority w:val="9"/>
    <w:semiHidden/>
    <w:unhideWhenUsed/>
    <w:qFormat/>
    <w:rsid w:val="00EB378D"/>
    <w:pPr>
      <w:keepNext/>
      <w:keepLines/>
      <w:spacing w:before="200" w:after="0"/>
      <w:outlineLvl w:val="5"/>
    </w:pPr>
    <w:rPr>
      <w:rFonts w:asciiTheme="majorHAnsi" w:eastAsiaTheme="majorEastAsia" w:hAnsiTheme="majorHAnsi" w:cstheme="majorBidi"/>
      <w:i/>
      <w:iCs/>
      <w:color w:val="773F04" w:themeColor="accent1" w:themeShade="7F"/>
    </w:rPr>
  </w:style>
  <w:style w:type="paragraph" w:styleId="Heading7">
    <w:name w:val="heading 7"/>
    <w:basedOn w:val="Normal"/>
    <w:next w:val="Normal"/>
    <w:link w:val="Heading7Char"/>
    <w:uiPriority w:val="9"/>
    <w:semiHidden/>
    <w:unhideWhenUsed/>
    <w:qFormat/>
    <w:rsid w:val="00EB378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B378D"/>
    <w:pPr>
      <w:keepNext/>
      <w:keepLines/>
      <w:spacing w:before="200" w:after="0"/>
      <w:outlineLvl w:val="7"/>
    </w:pPr>
    <w:rPr>
      <w:rFonts w:asciiTheme="majorHAnsi" w:eastAsiaTheme="majorEastAsia" w:hAnsiTheme="majorHAnsi" w:cstheme="majorBidi"/>
      <w:color w:val="F07F09" w:themeColor="accent1"/>
      <w:sz w:val="20"/>
      <w:szCs w:val="20"/>
    </w:rPr>
  </w:style>
  <w:style w:type="paragraph" w:styleId="Heading9">
    <w:name w:val="heading 9"/>
    <w:basedOn w:val="Normal"/>
    <w:next w:val="Normal"/>
    <w:link w:val="Heading9Char"/>
    <w:uiPriority w:val="9"/>
    <w:semiHidden/>
    <w:unhideWhenUsed/>
    <w:qFormat/>
    <w:rsid w:val="00EB378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J">
    <w:name w:val="My2 J"/>
    <w:basedOn w:val="Normal"/>
    <w:rsid w:val="008D46A1"/>
    <w:pPr>
      <w:pBdr>
        <w:bottom w:val="single" w:sz="6" w:space="1" w:color="auto"/>
      </w:pBdr>
      <w:spacing w:before="100" w:beforeAutospacing="1" w:after="100" w:afterAutospacing="1" w:line="360" w:lineRule="auto"/>
    </w:pPr>
    <w:rPr>
      <w:rFonts w:ascii="Times New Roman" w:eastAsia="Georgia" w:hAnsi="Times New Roman" w:cs="Times New Roman"/>
      <w:b/>
      <w:color w:val="000000" w:themeColor="text1"/>
      <w:lang w:eastAsia="en-GB"/>
    </w:rPr>
  </w:style>
  <w:style w:type="character" w:customStyle="1" w:styleId="Heading1Char">
    <w:name w:val="Heading 1 Char"/>
    <w:basedOn w:val="DefaultParagraphFont"/>
    <w:link w:val="Heading1"/>
    <w:uiPriority w:val="9"/>
    <w:rsid w:val="003218DE"/>
    <w:rPr>
      <w:rFonts w:eastAsia="Arial" w:cstheme="minorHAnsi"/>
      <w:b/>
      <w:bCs/>
      <w:sz w:val="28"/>
      <w:szCs w:val="28"/>
    </w:rPr>
  </w:style>
  <w:style w:type="character" w:customStyle="1" w:styleId="Heading2Char">
    <w:name w:val="Heading 2 Char"/>
    <w:basedOn w:val="DefaultParagraphFont"/>
    <w:link w:val="Heading2"/>
    <w:uiPriority w:val="9"/>
    <w:rsid w:val="00882651"/>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semiHidden/>
    <w:rsid w:val="004B061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EB378D"/>
    <w:rPr>
      <w:rFonts w:asciiTheme="majorHAnsi" w:eastAsiaTheme="majorEastAsia" w:hAnsiTheme="majorHAnsi" w:cstheme="majorBidi"/>
      <w:b/>
      <w:bCs/>
      <w:i/>
      <w:iCs/>
      <w:color w:val="F07F09" w:themeColor="accent1"/>
    </w:rPr>
  </w:style>
  <w:style w:type="character" w:customStyle="1" w:styleId="Heading5Char">
    <w:name w:val="Heading 5 Char"/>
    <w:basedOn w:val="DefaultParagraphFont"/>
    <w:link w:val="Heading5"/>
    <w:uiPriority w:val="9"/>
    <w:semiHidden/>
    <w:rsid w:val="00EB378D"/>
    <w:rPr>
      <w:rFonts w:asciiTheme="majorHAnsi" w:eastAsiaTheme="majorEastAsia" w:hAnsiTheme="majorHAnsi" w:cstheme="majorBidi"/>
      <w:color w:val="773F04" w:themeColor="accent1" w:themeShade="7F"/>
    </w:rPr>
  </w:style>
  <w:style w:type="character" w:customStyle="1" w:styleId="Heading6Char">
    <w:name w:val="Heading 6 Char"/>
    <w:basedOn w:val="DefaultParagraphFont"/>
    <w:link w:val="Heading6"/>
    <w:uiPriority w:val="9"/>
    <w:semiHidden/>
    <w:rsid w:val="00EB378D"/>
    <w:rPr>
      <w:rFonts w:asciiTheme="majorHAnsi" w:eastAsiaTheme="majorEastAsia" w:hAnsiTheme="majorHAnsi" w:cstheme="majorBidi"/>
      <w:i/>
      <w:iCs/>
      <w:color w:val="773F04" w:themeColor="accent1" w:themeShade="7F"/>
    </w:rPr>
  </w:style>
  <w:style w:type="character" w:customStyle="1" w:styleId="Heading7Char">
    <w:name w:val="Heading 7 Char"/>
    <w:basedOn w:val="DefaultParagraphFont"/>
    <w:link w:val="Heading7"/>
    <w:uiPriority w:val="9"/>
    <w:semiHidden/>
    <w:rsid w:val="00EB378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B378D"/>
    <w:rPr>
      <w:rFonts w:asciiTheme="majorHAnsi" w:eastAsiaTheme="majorEastAsia" w:hAnsiTheme="majorHAnsi" w:cstheme="majorBidi"/>
      <w:color w:val="F07F09" w:themeColor="accent1"/>
      <w:sz w:val="20"/>
      <w:szCs w:val="20"/>
    </w:rPr>
  </w:style>
  <w:style w:type="character" w:customStyle="1" w:styleId="Heading9Char">
    <w:name w:val="Heading 9 Char"/>
    <w:basedOn w:val="DefaultParagraphFont"/>
    <w:link w:val="Heading9"/>
    <w:uiPriority w:val="9"/>
    <w:semiHidden/>
    <w:rsid w:val="00EB378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B378D"/>
    <w:pPr>
      <w:pBdr>
        <w:bottom w:val="single" w:sz="8" w:space="4" w:color="F07F09" w:themeColor="accent1"/>
      </w:pBdr>
      <w:spacing w:after="300" w:line="240" w:lineRule="auto"/>
      <w:contextualSpacing/>
    </w:pPr>
    <w:rPr>
      <w:rFonts w:asciiTheme="majorHAnsi" w:eastAsiaTheme="majorEastAsia" w:hAnsiTheme="majorHAnsi" w:cstheme="majorBidi"/>
      <w:color w:val="252525" w:themeColor="text2" w:themeShade="BF"/>
      <w:spacing w:val="5"/>
      <w:kern w:val="28"/>
      <w:sz w:val="52"/>
      <w:szCs w:val="52"/>
    </w:rPr>
  </w:style>
  <w:style w:type="character" w:customStyle="1" w:styleId="TitleChar">
    <w:name w:val="Title Char"/>
    <w:basedOn w:val="DefaultParagraphFont"/>
    <w:link w:val="Title"/>
    <w:uiPriority w:val="10"/>
    <w:rsid w:val="00EB378D"/>
    <w:rPr>
      <w:rFonts w:asciiTheme="majorHAnsi" w:eastAsiaTheme="majorEastAsia" w:hAnsiTheme="majorHAnsi" w:cstheme="majorBidi"/>
      <w:color w:val="252525" w:themeColor="text2" w:themeShade="BF"/>
      <w:spacing w:val="5"/>
      <w:kern w:val="28"/>
      <w:sz w:val="52"/>
      <w:szCs w:val="52"/>
    </w:rPr>
  </w:style>
  <w:style w:type="paragraph" w:styleId="Subtitle">
    <w:name w:val="Subtitle"/>
    <w:basedOn w:val="Normal"/>
    <w:next w:val="Normal"/>
    <w:link w:val="SubtitleChar"/>
    <w:uiPriority w:val="11"/>
    <w:qFormat/>
    <w:rsid w:val="00EB378D"/>
    <w:pPr>
      <w:numPr>
        <w:ilvl w:val="1"/>
      </w:numPr>
    </w:pPr>
    <w:rPr>
      <w:rFonts w:asciiTheme="majorHAnsi" w:eastAsiaTheme="majorEastAsia" w:hAnsiTheme="majorHAnsi" w:cstheme="majorBidi"/>
      <w:i/>
      <w:iCs/>
      <w:color w:val="F07F09" w:themeColor="accent1"/>
      <w:spacing w:val="15"/>
      <w:sz w:val="24"/>
      <w:szCs w:val="24"/>
    </w:rPr>
  </w:style>
  <w:style w:type="character" w:customStyle="1" w:styleId="SubtitleChar">
    <w:name w:val="Subtitle Char"/>
    <w:basedOn w:val="DefaultParagraphFont"/>
    <w:link w:val="Subtitle"/>
    <w:uiPriority w:val="11"/>
    <w:rsid w:val="00EB378D"/>
    <w:rPr>
      <w:rFonts w:asciiTheme="majorHAnsi" w:eastAsiaTheme="majorEastAsia" w:hAnsiTheme="majorHAnsi" w:cstheme="majorBidi"/>
      <w:i/>
      <w:iCs/>
      <w:color w:val="F07F09" w:themeColor="accent1"/>
      <w:spacing w:val="15"/>
      <w:sz w:val="24"/>
      <w:szCs w:val="24"/>
    </w:rPr>
  </w:style>
  <w:style w:type="paragraph" w:styleId="Quote">
    <w:name w:val="Quote"/>
    <w:basedOn w:val="Normal"/>
    <w:next w:val="Normal"/>
    <w:link w:val="QuoteChar"/>
    <w:uiPriority w:val="29"/>
    <w:qFormat/>
    <w:rsid w:val="00EB378D"/>
    <w:rPr>
      <w:i/>
      <w:iCs/>
      <w:color w:val="000000" w:themeColor="text1"/>
    </w:rPr>
  </w:style>
  <w:style w:type="character" w:customStyle="1" w:styleId="QuoteChar">
    <w:name w:val="Quote Char"/>
    <w:basedOn w:val="DefaultParagraphFont"/>
    <w:link w:val="Quote"/>
    <w:uiPriority w:val="29"/>
    <w:rsid w:val="00EB378D"/>
    <w:rPr>
      <w:i/>
      <w:iCs/>
      <w:color w:val="000000" w:themeColor="text1"/>
    </w:rPr>
  </w:style>
  <w:style w:type="paragraph" w:styleId="ListParagraph">
    <w:name w:val="List Paragraph"/>
    <w:basedOn w:val="Normal"/>
    <w:uiPriority w:val="34"/>
    <w:qFormat/>
    <w:rsid w:val="00EB378D"/>
    <w:pPr>
      <w:ind w:left="720"/>
      <w:contextualSpacing/>
    </w:pPr>
  </w:style>
  <w:style w:type="character" w:styleId="IntenseEmphasis">
    <w:name w:val="Intense Emphasis"/>
    <w:basedOn w:val="DefaultParagraphFont"/>
    <w:uiPriority w:val="21"/>
    <w:qFormat/>
    <w:rsid w:val="00EB378D"/>
    <w:rPr>
      <w:b/>
      <w:bCs/>
      <w:i/>
      <w:iCs/>
      <w:color w:val="F07F09" w:themeColor="accent1"/>
    </w:rPr>
  </w:style>
  <w:style w:type="paragraph" w:styleId="IntenseQuote">
    <w:name w:val="Intense Quote"/>
    <w:basedOn w:val="Normal"/>
    <w:next w:val="Normal"/>
    <w:link w:val="IntenseQuoteChar"/>
    <w:uiPriority w:val="30"/>
    <w:qFormat/>
    <w:rsid w:val="00EB378D"/>
    <w:pPr>
      <w:pBdr>
        <w:bottom w:val="single" w:sz="4" w:space="4" w:color="F07F09" w:themeColor="accent1"/>
      </w:pBdr>
      <w:spacing w:before="200" w:after="280"/>
      <w:ind w:left="936" w:right="936"/>
    </w:pPr>
    <w:rPr>
      <w:b/>
      <w:bCs/>
      <w:i/>
      <w:iCs/>
      <w:color w:val="F07F09" w:themeColor="accent1"/>
    </w:rPr>
  </w:style>
  <w:style w:type="character" w:customStyle="1" w:styleId="IntenseQuoteChar">
    <w:name w:val="Intense Quote Char"/>
    <w:basedOn w:val="DefaultParagraphFont"/>
    <w:link w:val="IntenseQuote"/>
    <w:uiPriority w:val="30"/>
    <w:rsid w:val="00EB378D"/>
    <w:rPr>
      <w:b/>
      <w:bCs/>
      <w:i/>
      <w:iCs/>
      <w:color w:val="F07F09" w:themeColor="accent1"/>
    </w:rPr>
  </w:style>
  <w:style w:type="character" w:styleId="IntenseReference">
    <w:name w:val="Intense Reference"/>
    <w:basedOn w:val="DefaultParagraphFont"/>
    <w:uiPriority w:val="32"/>
    <w:qFormat/>
    <w:rsid w:val="00EB378D"/>
    <w:rPr>
      <w:b/>
      <w:bCs/>
      <w:smallCaps/>
      <w:color w:val="9F2936" w:themeColor="accent2"/>
      <w:spacing w:val="5"/>
      <w:u w:val="single"/>
    </w:rPr>
  </w:style>
  <w:style w:type="paragraph" w:styleId="Caption">
    <w:name w:val="caption"/>
    <w:basedOn w:val="Normal"/>
    <w:next w:val="Normal"/>
    <w:uiPriority w:val="35"/>
    <w:semiHidden/>
    <w:unhideWhenUsed/>
    <w:qFormat/>
    <w:rsid w:val="00EB378D"/>
    <w:pPr>
      <w:spacing w:line="240" w:lineRule="auto"/>
    </w:pPr>
    <w:rPr>
      <w:b/>
      <w:bCs/>
      <w:color w:val="F07F09" w:themeColor="accent1"/>
      <w:sz w:val="18"/>
      <w:szCs w:val="18"/>
    </w:rPr>
  </w:style>
  <w:style w:type="character" w:styleId="Strong">
    <w:name w:val="Strong"/>
    <w:basedOn w:val="DefaultParagraphFont"/>
    <w:uiPriority w:val="22"/>
    <w:qFormat/>
    <w:rsid w:val="00EB378D"/>
    <w:rPr>
      <w:b/>
      <w:bCs/>
    </w:rPr>
  </w:style>
  <w:style w:type="character" w:styleId="Emphasis">
    <w:name w:val="Emphasis"/>
    <w:basedOn w:val="DefaultParagraphFont"/>
    <w:uiPriority w:val="20"/>
    <w:qFormat/>
    <w:rsid w:val="00EB378D"/>
    <w:rPr>
      <w:i/>
      <w:iCs/>
    </w:rPr>
  </w:style>
  <w:style w:type="paragraph" w:styleId="NoSpacing">
    <w:name w:val="No Spacing"/>
    <w:link w:val="NoSpacingChar"/>
    <w:uiPriority w:val="1"/>
    <w:qFormat/>
    <w:rsid w:val="00EB378D"/>
    <w:pPr>
      <w:spacing w:after="0" w:line="240" w:lineRule="auto"/>
    </w:pPr>
  </w:style>
  <w:style w:type="character" w:customStyle="1" w:styleId="NoSpacingChar">
    <w:name w:val="No Spacing Char"/>
    <w:basedOn w:val="DefaultParagraphFont"/>
    <w:link w:val="NoSpacing"/>
    <w:uiPriority w:val="1"/>
    <w:rsid w:val="00EB378D"/>
  </w:style>
  <w:style w:type="character" w:styleId="SubtleEmphasis">
    <w:name w:val="Subtle Emphasis"/>
    <w:basedOn w:val="DefaultParagraphFont"/>
    <w:uiPriority w:val="19"/>
    <w:qFormat/>
    <w:rsid w:val="00EB378D"/>
    <w:rPr>
      <w:i/>
      <w:iCs/>
      <w:color w:val="808080" w:themeColor="text1" w:themeTint="7F"/>
    </w:rPr>
  </w:style>
  <w:style w:type="character" w:styleId="SubtleReference">
    <w:name w:val="Subtle Reference"/>
    <w:basedOn w:val="DefaultParagraphFont"/>
    <w:uiPriority w:val="31"/>
    <w:qFormat/>
    <w:rsid w:val="00EB378D"/>
    <w:rPr>
      <w:smallCaps/>
      <w:color w:val="9F2936" w:themeColor="accent2"/>
      <w:u w:val="single"/>
    </w:rPr>
  </w:style>
  <w:style w:type="character" w:styleId="BookTitle">
    <w:name w:val="Book Title"/>
    <w:basedOn w:val="DefaultParagraphFont"/>
    <w:uiPriority w:val="33"/>
    <w:qFormat/>
    <w:rsid w:val="00EB378D"/>
    <w:rPr>
      <w:b/>
      <w:bCs/>
      <w:smallCaps/>
      <w:spacing w:val="5"/>
    </w:rPr>
  </w:style>
  <w:style w:type="paragraph" w:styleId="TOCHeading">
    <w:name w:val="TOC Heading"/>
    <w:basedOn w:val="Heading1"/>
    <w:next w:val="Normal"/>
    <w:uiPriority w:val="39"/>
    <w:unhideWhenUsed/>
    <w:qFormat/>
    <w:rsid w:val="00EB378D"/>
    <w:pPr>
      <w:outlineLvl w:val="9"/>
    </w:pPr>
  </w:style>
  <w:style w:type="paragraph" w:styleId="Header">
    <w:name w:val="header"/>
    <w:basedOn w:val="Normal"/>
    <w:link w:val="HeaderChar"/>
    <w:uiPriority w:val="99"/>
    <w:unhideWhenUsed/>
    <w:rsid w:val="00EB37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78D"/>
  </w:style>
  <w:style w:type="paragraph" w:styleId="Footer">
    <w:name w:val="footer"/>
    <w:basedOn w:val="Normal"/>
    <w:link w:val="FooterChar"/>
    <w:uiPriority w:val="99"/>
    <w:unhideWhenUsed/>
    <w:rsid w:val="00EB37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378D"/>
  </w:style>
  <w:style w:type="character" w:styleId="Hyperlink">
    <w:name w:val="Hyperlink"/>
    <w:basedOn w:val="DefaultParagraphFont"/>
    <w:uiPriority w:val="99"/>
    <w:unhideWhenUsed/>
    <w:rsid w:val="009A557A"/>
    <w:rPr>
      <w:color w:val="6B9F25" w:themeColor="hyperlink"/>
      <w:u w:val="single"/>
    </w:rPr>
  </w:style>
  <w:style w:type="character" w:styleId="UnresolvedMention">
    <w:name w:val="Unresolved Mention"/>
    <w:basedOn w:val="DefaultParagraphFont"/>
    <w:uiPriority w:val="99"/>
    <w:semiHidden/>
    <w:unhideWhenUsed/>
    <w:rsid w:val="009A557A"/>
    <w:rPr>
      <w:color w:val="605E5C"/>
      <w:shd w:val="clear" w:color="auto" w:fill="E1DFDD"/>
    </w:rPr>
  </w:style>
  <w:style w:type="character" w:styleId="FollowedHyperlink">
    <w:name w:val="FollowedHyperlink"/>
    <w:basedOn w:val="DefaultParagraphFont"/>
    <w:uiPriority w:val="99"/>
    <w:semiHidden/>
    <w:unhideWhenUsed/>
    <w:rsid w:val="00AF18CA"/>
    <w:rPr>
      <w:color w:val="B26B02" w:themeColor="followedHyperlink"/>
      <w:u w:val="single"/>
    </w:rPr>
  </w:style>
  <w:style w:type="table" w:styleId="TableGrid">
    <w:name w:val="Table Grid"/>
    <w:basedOn w:val="TableNormal"/>
    <w:uiPriority w:val="39"/>
    <w:rsid w:val="00075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254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itation-90">
    <w:name w:val="citation-90"/>
    <w:basedOn w:val="DefaultParagraphFont"/>
    <w:rsid w:val="0080254E"/>
  </w:style>
  <w:style w:type="character" w:customStyle="1" w:styleId="apple-converted-space">
    <w:name w:val="apple-converted-space"/>
    <w:basedOn w:val="DefaultParagraphFont"/>
    <w:rsid w:val="0080254E"/>
  </w:style>
  <w:style w:type="character" w:customStyle="1" w:styleId="citation-89">
    <w:name w:val="citation-89"/>
    <w:basedOn w:val="DefaultParagraphFont"/>
    <w:rsid w:val="0080254E"/>
  </w:style>
  <w:style w:type="character" w:customStyle="1" w:styleId="citation-88">
    <w:name w:val="citation-88"/>
    <w:basedOn w:val="DefaultParagraphFont"/>
    <w:rsid w:val="0080254E"/>
  </w:style>
  <w:style w:type="character" w:customStyle="1" w:styleId="citation-87">
    <w:name w:val="citation-87"/>
    <w:basedOn w:val="DefaultParagraphFont"/>
    <w:rsid w:val="0080254E"/>
  </w:style>
  <w:style w:type="character" w:customStyle="1" w:styleId="citation-86">
    <w:name w:val="citation-86"/>
    <w:basedOn w:val="DefaultParagraphFont"/>
    <w:rsid w:val="0080254E"/>
  </w:style>
  <w:style w:type="character" w:customStyle="1" w:styleId="citation-85">
    <w:name w:val="citation-85"/>
    <w:basedOn w:val="DefaultParagraphFont"/>
    <w:rsid w:val="0080254E"/>
  </w:style>
  <w:style w:type="character" w:customStyle="1" w:styleId="citation-84">
    <w:name w:val="citation-84"/>
    <w:basedOn w:val="DefaultParagraphFont"/>
    <w:rsid w:val="0080254E"/>
  </w:style>
  <w:style w:type="character" w:customStyle="1" w:styleId="citation-83">
    <w:name w:val="citation-83"/>
    <w:basedOn w:val="DefaultParagraphFont"/>
    <w:rsid w:val="0080254E"/>
  </w:style>
  <w:style w:type="character" w:customStyle="1" w:styleId="citation-82">
    <w:name w:val="citation-82"/>
    <w:basedOn w:val="DefaultParagraphFont"/>
    <w:rsid w:val="0080254E"/>
  </w:style>
  <w:style w:type="character" w:customStyle="1" w:styleId="citation-81">
    <w:name w:val="citation-81"/>
    <w:basedOn w:val="DefaultParagraphFont"/>
    <w:rsid w:val="0080254E"/>
  </w:style>
  <w:style w:type="character" w:customStyle="1" w:styleId="citation-80">
    <w:name w:val="citation-80"/>
    <w:basedOn w:val="DefaultParagraphFont"/>
    <w:rsid w:val="0080254E"/>
  </w:style>
  <w:style w:type="character" w:customStyle="1" w:styleId="citation-79">
    <w:name w:val="citation-79"/>
    <w:basedOn w:val="DefaultParagraphFont"/>
    <w:rsid w:val="0080254E"/>
  </w:style>
  <w:style w:type="character" w:customStyle="1" w:styleId="citation-78">
    <w:name w:val="citation-78"/>
    <w:basedOn w:val="DefaultParagraphFont"/>
    <w:rsid w:val="0080254E"/>
  </w:style>
  <w:style w:type="character" w:customStyle="1" w:styleId="citation-77">
    <w:name w:val="citation-77"/>
    <w:basedOn w:val="DefaultParagraphFont"/>
    <w:rsid w:val="0080254E"/>
  </w:style>
  <w:style w:type="character" w:customStyle="1" w:styleId="citation-76">
    <w:name w:val="citation-76"/>
    <w:basedOn w:val="DefaultParagraphFont"/>
    <w:rsid w:val="0080254E"/>
  </w:style>
  <w:style w:type="character" w:customStyle="1" w:styleId="citation-75">
    <w:name w:val="citation-75"/>
    <w:basedOn w:val="DefaultParagraphFont"/>
    <w:rsid w:val="0080254E"/>
  </w:style>
  <w:style w:type="paragraph" w:styleId="TOC1">
    <w:name w:val="toc 1"/>
    <w:basedOn w:val="Normal"/>
    <w:next w:val="Normal"/>
    <w:autoRedefine/>
    <w:uiPriority w:val="39"/>
    <w:unhideWhenUsed/>
    <w:rsid w:val="00AA6881"/>
    <w:pPr>
      <w:spacing w:before="120" w:after="120"/>
    </w:pPr>
    <w:rPr>
      <w:rFonts w:cstheme="minorHAnsi"/>
      <w:b/>
      <w:bCs/>
      <w:caps/>
      <w:sz w:val="20"/>
      <w:szCs w:val="20"/>
    </w:rPr>
  </w:style>
  <w:style w:type="paragraph" w:styleId="TOC2">
    <w:name w:val="toc 2"/>
    <w:basedOn w:val="Normal"/>
    <w:next w:val="Normal"/>
    <w:autoRedefine/>
    <w:uiPriority w:val="39"/>
    <w:unhideWhenUsed/>
    <w:rsid w:val="00AA6881"/>
    <w:pPr>
      <w:spacing w:after="0"/>
      <w:ind w:left="220"/>
    </w:pPr>
    <w:rPr>
      <w:rFonts w:cstheme="minorHAnsi"/>
      <w:smallCaps/>
      <w:sz w:val="20"/>
      <w:szCs w:val="20"/>
    </w:rPr>
  </w:style>
  <w:style w:type="paragraph" w:styleId="TOC3">
    <w:name w:val="toc 3"/>
    <w:basedOn w:val="Normal"/>
    <w:next w:val="Normal"/>
    <w:autoRedefine/>
    <w:uiPriority w:val="39"/>
    <w:semiHidden/>
    <w:unhideWhenUsed/>
    <w:rsid w:val="00AA6881"/>
    <w:pPr>
      <w:spacing w:after="0"/>
      <w:ind w:left="440"/>
    </w:pPr>
    <w:rPr>
      <w:rFonts w:cstheme="minorHAnsi"/>
      <w:i/>
      <w:iCs/>
      <w:sz w:val="20"/>
      <w:szCs w:val="20"/>
    </w:rPr>
  </w:style>
  <w:style w:type="paragraph" w:styleId="TOC4">
    <w:name w:val="toc 4"/>
    <w:basedOn w:val="Normal"/>
    <w:next w:val="Normal"/>
    <w:autoRedefine/>
    <w:uiPriority w:val="39"/>
    <w:semiHidden/>
    <w:unhideWhenUsed/>
    <w:rsid w:val="00AA6881"/>
    <w:pPr>
      <w:spacing w:after="0"/>
      <w:ind w:left="660"/>
    </w:pPr>
    <w:rPr>
      <w:rFonts w:cstheme="minorHAnsi"/>
      <w:sz w:val="18"/>
      <w:szCs w:val="18"/>
    </w:rPr>
  </w:style>
  <w:style w:type="paragraph" w:styleId="TOC5">
    <w:name w:val="toc 5"/>
    <w:basedOn w:val="Normal"/>
    <w:next w:val="Normal"/>
    <w:autoRedefine/>
    <w:uiPriority w:val="39"/>
    <w:semiHidden/>
    <w:unhideWhenUsed/>
    <w:rsid w:val="00AA6881"/>
    <w:pPr>
      <w:spacing w:after="0"/>
      <w:ind w:left="880"/>
    </w:pPr>
    <w:rPr>
      <w:rFonts w:cstheme="minorHAnsi"/>
      <w:sz w:val="18"/>
      <w:szCs w:val="18"/>
    </w:rPr>
  </w:style>
  <w:style w:type="paragraph" w:styleId="TOC6">
    <w:name w:val="toc 6"/>
    <w:basedOn w:val="Normal"/>
    <w:next w:val="Normal"/>
    <w:autoRedefine/>
    <w:uiPriority w:val="39"/>
    <w:semiHidden/>
    <w:unhideWhenUsed/>
    <w:rsid w:val="00AA6881"/>
    <w:pPr>
      <w:spacing w:after="0"/>
      <w:ind w:left="1100"/>
    </w:pPr>
    <w:rPr>
      <w:rFonts w:cstheme="minorHAnsi"/>
      <w:sz w:val="18"/>
      <w:szCs w:val="18"/>
    </w:rPr>
  </w:style>
  <w:style w:type="paragraph" w:styleId="TOC7">
    <w:name w:val="toc 7"/>
    <w:basedOn w:val="Normal"/>
    <w:next w:val="Normal"/>
    <w:autoRedefine/>
    <w:uiPriority w:val="39"/>
    <w:semiHidden/>
    <w:unhideWhenUsed/>
    <w:rsid w:val="00AA6881"/>
    <w:pPr>
      <w:spacing w:after="0"/>
      <w:ind w:left="1320"/>
    </w:pPr>
    <w:rPr>
      <w:rFonts w:cstheme="minorHAnsi"/>
      <w:sz w:val="18"/>
      <w:szCs w:val="18"/>
    </w:rPr>
  </w:style>
  <w:style w:type="paragraph" w:styleId="TOC8">
    <w:name w:val="toc 8"/>
    <w:basedOn w:val="Normal"/>
    <w:next w:val="Normal"/>
    <w:autoRedefine/>
    <w:uiPriority w:val="39"/>
    <w:semiHidden/>
    <w:unhideWhenUsed/>
    <w:rsid w:val="00AA6881"/>
    <w:pPr>
      <w:spacing w:after="0"/>
      <w:ind w:left="1540"/>
    </w:pPr>
    <w:rPr>
      <w:rFonts w:cstheme="minorHAnsi"/>
      <w:sz w:val="18"/>
      <w:szCs w:val="18"/>
    </w:rPr>
  </w:style>
  <w:style w:type="paragraph" w:styleId="TOC9">
    <w:name w:val="toc 9"/>
    <w:basedOn w:val="Normal"/>
    <w:next w:val="Normal"/>
    <w:autoRedefine/>
    <w:uiPriority w:val="39"/>
    <w:semiHidden/>
    <w:unhideWhenUsed/>
    <w:rsid w:val="00AA6881"/>
    <w:pPr>
      <w:spacing w:after="0"/>
      <w:ind w:left="1760"/>
    </w:pPr>
    <w:rPr>
      <w:rFonts w:cstheme="minorHAnsi"/>
      <w:sz w:val="18"/>
      <w:szCs w:val="18"/>
    </w:rPr>
  </w:style>
  <w:style w:type="character" w:customStyle="1" w:styleId="source-count">
    <w:name w:val="source-count"/>
    <w:basedOn w:val="DefaultParagraphFont"/>
    <w:rsid w:val="00410DBE"/>
  </w:style>
  <w:style w:type="paragraph" w:styleId="ListBullet">
    <w:name w:val="List Bullet"/>
    <w:basedOn w:val="Normal"/>
    <w:uiPriority w:val="99"/>
    <w:unhideWhenUsed/>
    <w:rsid w:val="00BF505B"/>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6719604-01BC-B44F-B669-34D502B67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13</Pages>
  <Words>4684</Words>
  <Characters>26699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DCG</Company>
  <LinksUpToDate>false</LinksUpToDate>
  <CharactersWithSpaces>31321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Yadav G</dc:creator>
  <cp:keywords/>
  <dc:description/>
  <cp:lastModifiedBy>Nithin Yadav G</cp:lastModifiedBy>
  <cp:revision>12</cp:revision>
  <dcterms:created xsi:type="dcterms:W3CDTF">2026-06-18T01:19:00Z</dcterms:created>
  <dcterms:modified xsi:type="dcterms:W3CDTF">2026-07-08T19:34:00Z</dcterms:modified>
</cp:coreProperties>
</file>