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Chapter 6: Discussion</w:t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6.1 Chapter Overview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This chapter situates experimental findings within theoretical context...</w:t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6.2 Interpretation of Findings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The results demonstrate measurable orbital perturbations...</w:t>
      </w:r>
    </w:p>
    <w:p>
      <w:pPr>
        <w:pBdr>
          <w:left w:val="single" w:color="2E75B6" w:sz="8"/>
        </w:pBdr>
        <w:shd w:fill="D6E4F2"/>
        <w:ind w:left="720"/>
      </w:pPr>
      <w:r>
        <w:rPr>
          <w:rFonts w:ascii="Times New Roman" w:cs="Times New Roman" w:eastAsia="Times New Roman" w:hAnsi="Times New Roman"/>
          <w:i/>
          <w:iCs/>
          <w:color w:val="1F3864"/>
          <w:sz w:val="22"/>
          <w:szCs w:val="22"/>
        </w:rPr>
        <w:t xml:space="preserve">Transport-layer security cannot guarantee data authenticity at creation stage.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2E75B6"/>
        <w:sz w:val="20"/>
        <w:szCs w:val="20"/>
      </w:rPr>
      <w:t xml:space="preserve">Chapter 6: Discussion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2026-07-05T12:21:56.123Z</dcterms:created>
  <dcterms:modified xsi:type="dcterms:W3CDTF">2026-07-05T12:21:56.126Z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