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Sourcing Strategy and Initial Analysis Plan</w:t>
      </w:r>
    </w:p>
    <w:p>
      <w:pPr>
        <w:pStyle w:val="Subtitle"/>
      </w:pPr>
      <w:r>
        <w:t>Week 2 internship report</w:t>
      </w:r>
    </w:p>
    <w:p>
      <w:r>
        <w:t>Prepared for Yuvaintern by M Nithish Kumar</w:t>
        <w:br/>
        <w:t>25 October 2026</w:t>
      </w:r>
    </w:p>
    <w:p>
      <w:r>
        <w:t>Project scope and evidence status. This report forms part of a six week project on classifying beauty product review text for customer feedback triage. The practical work uses generated synthetic records only. Public sources support the business context and future data sourcing plan; no real customer dataset was downloaded or analyzed. Numerical results describe an executed simulation, and proposed real world tests are identified separately. The assignment explicitly permits simulation and planning.</w:t>
      </w:r>
    </w:p>
    <w:p>
      <w:pPr>
        <w:pStyle w:val="Heading1"/>
      </w:pPr>
      <w:r>
        <w:t>Source selection decision</w:t>
      </w:r>
    </w:p>
    <w:p>
      <w:r>
        <w:t>Use the All Beauty component of Amazon Reviews 2023 as the primary candidate for a future real data extension. It aligns review text with a rating based label and provides a route to product level grouping. Begin with a manageable sample rather than downloading the complete collection. Verify the current access method and usage terms before retrieval [R2].</w:t>
      </w:r>
    </w:p>
    <w:p>
      <w:r>
        <w:t>The executed project instead uses a deterministic synthetic CSV. This is a deliberate simulation path consistent with the assignment, not a claim that public reviews were obtained. Public pages were inspected for feasibility. Source accessibility at the documentation level is distinct from successful download, schema verification, licensing review and successful ingestion.</w:t>
      </w:r>
    </w:p>
    <w:p>
      <w:pPr>
        <w:pStyle w:val="Heading1"/>
      </w:pPr>
      <w:r>
        <w:t>Candidate sources and comparative assessment</w:t>
      </w:r>
    </w:p>
    <w:tbl>
      <w:tblPr>
        <w:tblW w:type="auto" w:w="0"/>
        <w:tblLayout w:type="fixed"/>
        <w:tblLook w:firstColumn="1" w:firstRow="1" w:lastColumn="0" w:lastRow="0" w:noHBand="0" w:noVBand="1" w:val="04A0"/>
      </w:tblPr>
      <w:tblGrid>
        <w:gridCol w:w="2304"/>
        <w:gridCol w:w="3600"/>
        <w:gridCol w:w="4032"/>
      </w:tblGrid>
      <w:tr>
        <w:trPr>
          <w:tblHeader/>
        </w:trP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Source</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Use and strengths</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Limitations and update pattern</w:t>
            </w:r>
          </w:p>
        </w:tc>
      </w:tr>
      <w:t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Amazon Reviews 2023 [R2]</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Primary candidate; ratings and review text, with product metadata</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Historical snapshot, not a live market feed; inspect terms, access and category coverage</w:t>
            </w:r>
          </w:p>
        </w:tc>
      </w:tr>
      <w:t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Amazon Review Data 2018 [R4]</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Fallback with a small All Beauty 5 core subset</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Older historical snapshot; dense subset overrepresents active users and products</w:t>
            </w:r>
          </w:p>
        </w:tc>
      </w:tr>
      <w:t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openFDA cosmetic events [R7]</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Government API candidate for separate safety context</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Different reporting unit and selection process; documented updates are infrequent; not a sentiment label source</w:t>
            </w:r>
          </w:p>
        </w:tc>
      </w:tr>
      <w:tr>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pPr>
            <w:r>
              <w:rPr>
                <w:b w:val="0"/>
                <w:sz w:val="19"/>
              </w:rPr>
              <w:t>Deterministic synthetic data</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pPr>
            <w:r>
              <w:rPr>
                <w:b w:val="0"/>
                <w:sz w:val="19"/>
              </w:rPr>
              <w:t>Included executable demonstration with known injected faults</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pPr>
            <w:r>
              <w:rPr>
                <w:b w:val="0"/>
                <w:sz w:val="19"/>
              </w:rPr>
              <w:t>Not independent evidence of market behavior; regenerated on demand, not externally refreshed</w:t>
            </w:r>
          </w:p>
        </w:tc>
      </w:tr>
    </w:tbl>
    <w:p>
      <w:pPr>
        <w:spacing w:after="0"/>
      </w:pPr>
    </w:p>
    <w:p>
      <w:r>
        <w:t>Source links: Amazon Reviews 2023 at https://amazon-reviews-2023.github.io/main.html ; Amazon Review Data 2018 at https://nijianmo.github.io/amazon/index.html ; openFDA at https://open.fda.gov/apis/cosmetic/event/ . The older resource lists 5,269 All Beauty reviews in its 5 core subset [R4]. This number refers to that publisher listing, not the number analyzed in this project.</w:t>
      </w:r>
    </w:p>
    <w:p>
      <w:pPr>
        <w:pStyle w:val="Heading1"/>
      </w:pPr>
      <w:r>
        <w:t>Relevance and exclusion decisions</w:t>
      </w:r>
    </w:p>
    <w:p>
      <w:r>
        <w:t>A source is eligible for the main classifier only if it has usable text, valid ratings and an item grouping key. Product metadata is optional for the text baseline. Ratings only files cannot support text classification. A government adverse event report records a different process from an ordinary customer review and should not be joined into the rating target. In particular, a reported event is not proof that the named product caused an outcome.</w:t>
      </w:r>
    </w:p>
    <w:p>
      <w:r>
        <w:t>Social media and trend search signals are possible contextual extensions, but no verified public corpus with compatible review labels was identified for this implementation. They are excluded from the initial ingestion plan. This reduces unsupported linkage and avoids treating likes, search interest or posts as equivalent to purchase satisfaction.</w:t>
      </w:r>
    </w:p>
    <w:p>
      <w:pPr>
        <w:pStyle w:val="Heading1"/>
      </w:pPr>
      <w:r>
        <w:t>Collection procedure and provenance</w:t>
      </w:r>
    </w:p>
    <w:p>
      <w:r>
        <w:t>Step 1 is to inspect the primary publisher’s schema and usage conditions. Record the exact file URL or dataset revision, access date and permitted usage. Do not interpret public visibility as unrestricted permission to redistribute text. Step 2 is to obtain one category and record file size, SHA 256 checksum and the retrieval outcome. Keep raw data immutable and store a manifest beside the derived data.</w:t>
      </w:r>
    </w:p>
    <w:p>
      <w:r>
        <w:t>Step 3 is to load JSON records in chunks or with a streaming reader. Preserve only the minimum fields needed for this study. Map the source rating and text fields explicitly, use parent item identifiers where documented, and verify timestamp units against the actual schema. The CSV demonstration uses its own product_id and ISO date fields; it is not an exact copy of the publisher’s schema.</w:t>
      </w:r>
    </w:p>
    <w:p>
      <w:r>
        <w:t>Step 4 is to construct a reproducible product based sample with a fixed seed. For a resource constrained laptop, start with approximately 5,000 to 20,000 reviews if access and category volume allow. Sample products first and retain the sampled product history so high volume items do not silently dominate. Document all filters, including language restrictions. Step 5 is to profile quality and agree the partition policy before feature fitting. If the download fails or required fields are absent, record that failure and use the fallback or simulation; never substitute invented source rows without relabelling provenance.</w:t>
      </w:r>
    </w:p>
    <w:p>
      <w:pPr>
        <w:pStyle w:val="Heading1"/>
      </w:pPr>
      <w:r>
        <w:t>Minimum schema and source mapping</w:t>
      </w:r>
    </w:p>
    <w:tbl>
      <w:tblPr>
        <w:tblW w:type="auto" w:w="0"/>
        <w:tblLayout w:type="fixed"/>
        <w:tblLook w:firstColumn="1" w:firstRow="1" w:lastColumn="0" w:lastRow="0" w:noHBand="0" w:noVBand="1" w:val="04A0"/>
      </w:tblPr>
      <w:tblGrid>
        <w:gridCol w:w="1872"/>
        <w:gridCol w:w="3600"/>
        <w:gridCol w:w="4464"/>
      </w:tblGrid>
      <w:tr>
        <w:trPr>
          <w:tblHeader/>
        </w:trP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Project variable</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Real source candidate</w:t>
            </w:r>
          </w:p>
        </w:tc>
        <w:tc>
          <w:tcPr>
            <w:tcW w:type="dxa" w:w="4464"/>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Validation</w:t>
            </w:r>
          </w:p>
        </w:tc>
      </w:tr>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rating</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rating or source documented equivalent</w:t>
            </w:r>
          </w:p>
        </w:tc>
        <w:tc>
          <w:tcPr>
            <w:tcW w:type="dxa" w:w="446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Numeric integer from 1 through 5</w:t>
            </w:r>
          </w:p>
        </w:tc>
      </w:tr>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text</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Review body text</w:t>
            </w:r>
          </w:p>
        </w:tc>
        <w:tc>
          <w:tcPr>
            <w:tcW w:type="dxa" w:w="4464"/>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Nonempty Unicode string; retain negation</w:t>
            </w:r>
          </w:p>
        </w:tc>
      </w:tr>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product_id</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parent_asin if schema confirms it</w:t>
            </w:r>
          </w:p>
        </w:tc>
        <w:tc>
          <w:tcPr>
            <w:tcW w:type="dxa" w:w="446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Nonmissing grouping identifier</w:t>
            </w:r>
          </w:p>
        </w:tc>
      </w:tr>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date</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timestamp</w:t>
            </w:r>
          </w:p>
        </w:tc>
        <w:tc>
          <w:tcPr>
            <w:tcW w:type="dxa" w:w="4464"/>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Confirm units then convert to UTC</w:t>
            </w:r>
          </w:p>
        </w:tc>
      </w:tr>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category</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Metadata categories</w:t>
            </w:r>
          </w:p>
        </w:tc>
        <w:tc>
          <w:tcPr>
            <w:tcW w:type="dxa" w:w="446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Check hierarchy and missing join rates</w:t>
            </w:r>
          </w:p>
        </w:tc>
      </w:tr>
      <w:tr>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pPr>
            <w:r>
              <w:rPr>
                <w:b w:val="0"/>
                <w:sz w:val="19"/>
              </w:rPr>
              <w:t>verified</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pPr>
            <w:r>
              <w:rPr>
                <w:b w:val="0"/>
                <w:sz w:val="19"/>
              </w:rPr>
              <w:t>verified_purchase if present</w:t>
            </w:r>
          </w:p>
        </w:tc>
        <w:tc>
          <w:tcPr>
            <w:tcW w:type="dxa" w:w="4464"/>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pPr>
            <w:r>
              <w:rPr>
                <w:b w:val="0"/>
                <w:sz w:val="19"/>
              </w:rPr>
              <w:t>Map explicitly; do not guess from string truthiness</w:t>
            </w:r>
          </w:p>
        </w:tc>
      </w:tr>
    </w:tbl>
    <w:p>
      <w:pPr>
        <w:spacing w:after="0"/>
      </w:pPr>
    </w:p>
    <w:p>
      <w:pPr>
        <w:pStyle w:val="Heading1"/>
      </w:pPr>
      <w:r>
        <w:t>Quality dimensions and acceptance rules</w:t>
      </w:r>
    </w:p>
    <w:p>
      <w:r>
        <w:t>Completeness means reporting missing text, labels, dates and grouping identifiers separately. Validity means checking rating range and timestamp plausibility. Uniqueness means examining review identifiers, text hashes and product variants. Consistency means standardizing category names and joining metadata with an explicit many to one expectation. Relevance means confirming that selected items belong to beauty or personal care and that the language matches the model scope.</w:t>
      </w:r>
    </w:p>
    <w:p>
      <w:r>
        <w:t>Proposed real data gates are 100 percent valid retained labels, no empty retained text, zero product overlap across partitions and no exact normalized text overlap. A metadata join rate below 90 percent triggers an investigation rather than automatic deletion. That threshold is a project choice, not a published standard. Report retention rates before and after filtering by category; a clean dataset can still be biased if removals concentrate in one segment.</w:t>
      </w:r>
    </w:p>
    <w:p>
      <w:r>
        <w:t>The synthetic generator injects duplicate IDs, absent text, invalid ratings and malformed dates to verify cleaning behavior. It also produces repeated phrases, making duplicate text policy observable. These controlled issues are software test conditions rather than estimates of public data quality.</w:t>
      </w:r>
    </w:p>
    <w:p>
      <w:pPr>
        <w:pStyle w:val="Heading1"/>
      </w:pPr>
      <w:r>
        <w:t>Initial exploratory analysis plan</w:t>
      </w:r>
    </w:p>
    <w:tbl>
      <w:tblPr>
        <w:tblW w:type="auto" w:w="0"/>
        <w:tblLayout w:type="fixed"/>
        <w:tblLook w:firstColumn="1" w:firstRow="1" w:lastColumn="0" w:lastRow="0" w:noHBand="0" w:noVBand="1" w:val="04A0"/>
      </w:tblPr>
      <w:tblGrid>
        <w:gridCol w:w="2736"/>
        <w:gridCol w:w="3888"/>
        <w:gridCol w:w="3312"/>
      </w:tblGrid>
      <w:tr>
        <w:trPr>
          <w:tblHeader/>
        </w:trPr>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Question</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Method</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Decision supported</w:t>
            </w:r>
          </w:p>
        </w:tc>
      </w:tr>
      <w:tr>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How imbalanced is the label?</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Counts, proportions and rating bar chart</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Choose baseline and metrics</w:t>
            </w:r>
          </w:p>
        </w:tc>
      </w:tr>
      <w:tr>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Which fields fail validation?</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Missingness chart and audit counts</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Prioritize cleaning</w:t>
            </w:r>
          </w:p>
        </w:tc>
      </w:tr>
      <w:tr>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Do categories differ?</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Grouped proportions with sample sizes</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Identify segments needing investigation</w:t>
            </w:r>
          </w:p>
        </w:tc>
      </w:tr>
      <w:tr>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Does length vary by label?</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Median, quartiles, boxplots and Mann Whitney U</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Evaluate length as a candidate feature</w:t>
            </w:r>
          </w:p>
        </w:tc>
      </w:tr>
      <w:tr>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What complaint themes occur?</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Manually reviewed terms and contingency tables</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Build a reviewable taxonomy</w:t>
            </w:r>
          </w:p>
        </w:tc>
      </w:tr>
      <w:tr>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pPr>
            <w:r>
              <w:rPr>
                <w:b w:val="0"/>
                <w:sz w:val="19"/>
              </w:rPr>
              <w:t>Does performance drift?</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pPr>
            <w:r>
              <w:rPr>
                <w:b w:val="0"/>
                <w:sz w:val="19"/>
              </w:rPr>
              <w:t>Time plots and later period holdout</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pPr>
            <w:r>
              <w:rPr>
                <w:b w:val="0"/>
                <w:sz w:val="19"/>
              </w:rPr>
              <w:t>Assess temporal robustness</w:t>
            </w:r>
          </w:p>
        </w:tc>
      </w:tr>
    </w:tbl>
    <w:p>
      <w:pPr>
        <w:spacing w:after="0"/>
      </w:pPr>
    </w:p>
    <w:p>
      <w:r>
        <w:t>For H1, review text and rating provide predictor and proxy label. For H2, category and manually checked themes support association analysis. For H3, the word count derived from text supports distribution comparisons. For H4, a fixed feature ablation tests incremental value. Product IDs control partition leakage for every modeling comparison. The actual synthetic demonstration evaluates H1 only in a constructed setting; inferential tests for the other hypotheses are proposed, not reported as completed.</w:t>
      </w:r>
    </w:p>
    <w:p>
      <w:pPr>
        <w:pStyle w:val="Heading1"/>
      </w:pPr>
      <w:r>
        <w:t>Preprocessing and reproducibility plan</w:t>
      </w:r>
    </w:p>
    <w:p>
      <w:r>
        <w:t>Use pandas for tabular profiling and NumPy for deterministic sampling. Preserve missing labels rather than filling them with the majority rating. Remove records that cannot support supervised learning, while recording exclusions. Keep invalid dates as missing when date is unnecessary for the text baseline; exclude or separately analyze them for temporal validation. TF IDF vocabulary must be learned from training text only [R5].</w:t>
      </w:r>
    </w:p>
    <w:p>
      <w:r>
        <w:t>Store a source manifest, data dictionary, cleaning audit, sample selection code and split membership. The included repository already supplies analogous artifacts for synthetic data. No real source archive, personal reviewer identity or access token is bundled. This makes the current project easy to run while maintaining an explicit boundary between the completed simulation and the planned real data study.</w:t>
      </w:r>
    </w:p>
    <w:p>
      <w:pPr>
        <w:pStyle w:val="Heading1"/>
        <w:keepNext/>
        <w:spacing w:after="60"/>
      </w:pPr>
      <w:r>
        <w:t>References</w:t>
      </w:r>
    </w:p>
    <w:p>
      <w:pPr>
        <w:keepNext/>
        <w:spacing w:after="60"/>
      </w:pPr>
      <w:r>
        <w:rPr>
          <w:sz w:val="18"/>
        </w:rPr>
        <w:t>[R2] McAuley Lab. Amazon Reviews 2023 dataset documentation. https://amazon-reviews-2023.github.io/main.html Accessed 25 October 2026.</w:t>
      </w:r>
    </w:p>
    <w:p>
      <w:pPr>
        <w:keepNext/>
        <w:spacing w:after="60"/>
      </w:pPr>
      <w:r>
        <w:rPr>
          <w:sz w:val="18"/>
        </w:rPr>
        <w:t>[R4] Ni Li and McAuley 2019. Amazon Review Data and Justifying recommendations using distantly labeled reviews and fine grained aspects. https://nijianmo.github.io/amazon/index.html Accessed 25 October 2026.</w:t>
      </w:r>
    </w:p>
    <w:p>
      <w:pPr>
        <w:keepNext/>
        <w:spacing w:after="60"/>
      </w:pPr>
      <w:r>
        <w:rPr>
          <w:sz w:val="18"/>
        </w:rPr>
        <w:t>[R5] scikit learn documentation. Common pitfalls and recommended practices. https://scikit-learn.org/stable/common_pitfalls.html Accessed 25 October 2026.</w:t>
      </w:r>
    </w:p>
    <w:p>
      <w:pPr>
        <w:keepNext w:val="0"/>
        <w:spacing w:after="60"/>
      </w:pPr>
      <w:r>
        <w:rPr>
          <w:sz w:val="18"/>
        </w:rPr>
        <w:t>[R7] openFDA. Cosmetic adverse events overview. https://open.fda.gov/apis/cosmetic/event/ Accessed 25 October 2026.</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Yuvaintern   |   Data Science with Python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M Nithish Kumar   |   Beauty Review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