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Exploratory Analysis and Feature Engineering</w:t>
      </w:r>
    </w:p>
    <w:p>
      <w:pPr>
        <w:pStyle w:val="Subtitle"/>
      </w:pPr>
      <w:r>
        <w:t>Week 4 internship report</w:t>
      </w:r>
    </w:p>
    <w:p>
      <w:r>
        <w:t>Prepared for Yuvaintern by M Nithish Kumar</w:t>
        <w:br/>
        <w:t>25 October 2026</w:t>
      </w:r>
    </w:p>
    <w:p>
      <w:r>
        <w:t>Project scope and evidence status. This report forms part of a six week project on classifying beauty product review text for customer feedback triage. The practical work uses generated synthetic records only. Public sources support the business context and future data sourcing plan; no real customer dataset was downloaded or analyzed. Numerical results describe an executed simulation, and proposed real world tests are identified separately. The assignment explicitly permits simulation and planning.</w:t>
      </w:r>
    </w:p>
    <w:p>
      <w:pPr>
        <w:pStyle w:val="Heading1"/>
      </w:pPr>
      <w:r>
        <w:t>Analytical purpose and evidence boundary</w:t>
      </w:r>
    </w:p>
    <w:p>
      <w:r>
        <w:t>This stage examines class balance, category patterns and candidate representations for review text. The included charts are computed from the cleaned synthetic dataset rather than drawn as hypothetical outcomes. They demonstrate what an EDA workflow can produce, while the interpretations remain restricted to generated records. No chart establishes which real beauty category causes dissatisfaction.</w:t>
      </w:r>
    </w:p>
    <w:p>
      <w:r>
        <w:t>For a subsequent real data study, lock the final test partition before exploratory work, and use training and validation records to choose features. The artificial full dataset charts in this report are descriptive illustrations. They did not guide any hyperparameter search; the model candidates and their settings were fixed before the holdout comparison.</w:t>
      </w:r>
    </w:p>
    <w:p>
      <w:pPr>
        <w:pStyle w:val="Heading1"/>
      </w:pPr>
      <w:r>
        <w:t>Exploratory workflow</w:t>
      </w:r>
    </w:p>
    <w:p>
      <w:r>
        <w:t>Begin with schema types, row counts, product counts and cleaning retention. Then inspect the five rating categories before reducing them to the binary target. Report class proportions beside absolute counts so a high complaint count is not mistaken for a high complaint rate. Summarize review length using medians, quartiles and tail percentiles because length is often asymmetric.</w:t>
      </w:r>
    </w:p>
    <w:p>
      <w:r>
        <w:t>Next, compare categories while displaying denominator sizes. A category with few reviews can have an unstable rate. For real data, compute intervals with product clustered resampling or a clearly justified alternative. Examine missingness and exclusion rates by category before interpreting differences. Finally, inspect frequent phrases separately in low rating and other text, and read representative examples to detect negation, ambiguous context and generator artifacts.</w:t>
      </w:r>
    </w:p>
    <w:p>
      <w:pPr>
        <w:pStyle w:val="Heading1"/>
      </w:pPr>
      <w:r>
        <w:t>Rating distribution in the synthetic dataset</w:t>
      </w:r>
    </w:p>
    <w:p>
      <w:r>
        <w:drawing>
          <wp:inline xmlns:a="http://schemas.openxmlformats.org/drawingml/2006/main" xmlns:pic="http://schemas.openxmlformats.org/drawingml/2006/picture">
            <wp:extent cx="5852160" cy="3017520"/>
            <wp:docPr id="1" name="Picture 1"/>
            <wp:cNvGraphicFramePr>
              <a:graphicFrameLocks noChangeAspect="1"/>
            </wp:cNvGraphicFramePr>
            <a:graphic>
              <a:graphicData uri="http://schemas.openxmlformats.org/drawingml/2006/picture">
                <pic:pic>
                  <pic:nvPicPr>
                    <pic:cNvPr id="0" name="ratings.png"/>
                    <pic:cNvPicPr/>
                  </pic:nvPicPr>
                  <pic:blipFill>
                    <a:blip r:embed="rId11"/>
                    <a:stretch>
                      <a:fillRect/>
                    </a:stretch>
                  </pic:blipFill>
                  <pic:spPr>
                    <a:xfrm>
                      <a:off x="0" y="0"/>
                      <a:ext cx="5852160" cy="3017520"/>
                    </a:xfrm>
                    <a:prstGeom prst="rect"/>
                  </pic:spPr>
                </pic:pic>
              </a:graphicData>
            </a:graphic>
          </wp:inline>
        </w:drawing>
      </w:r>
    </w:p>
    <w:p>
      <w:pPr>
        <w:pStyle w:val="Caption"/>
      </w:pPr>
      <w:r>
        <w:t>Figure 1  Observed rating counts in the cleaned synthetic demonstration</w:t>
      </w:r>
    </w:p>
    <w:p>
      <w:r>
        <w:t>The chart shows that all five label values remain after cleaning. The binary classifier groups ratings 1 and 2 as the positive class. Ratings 3 through 5 form the other class. This operational choice is easy to audit, but a three star review may still contain a complaint. A sensitivity study should compare the current mapping with a version that excludes rating 3 or treats it as a separate class. Those variants are proposed and were not selected using the test data.</w:t>
      </w:r>
    </w:p>
    <w:p>
      <w:pPr>
        <w:pStyle w:val="Heading1"/>
      </w:pPr>
      <w:r>
        <w:t>Category comparison in the synthetic dataset</w:t>
      </w:r>
    </w:p>
    <w:p>
      <w:r>
        <w:drawing>
          <wp:inline xmlns:a="http://schemas.openxmlformats.org/drawingml/2006/main" xmlns:pic="http://schemas.openxmlformats.org/drawingml/2006/picture">
            <wp:extent cx="5852160" cy="3017520"/>
            <wp:docPr id="2" name="Picture 2"/>
            <wp:cNvGraphicFramePr>
              <a:graphicFrameLocks noChangeAspect="1"/>
            </wp:cNvGraphicFramePr>
            <a:graphic>
              <a:graphicData uri="http://schemas.openxmlformats.org/drawingml/2006/picture">
                <pic:pic>
                  <pic:nvPicPr>
                    <pic:cNvPr id="0" name="categories.png"/>
                    <pic:cNvPicPr/>
                  </pic:nvPicPr>
                  <pic:blipFill>
                    <a:blip r:embed="rId12"/>
                    <a:stretch>
                      <a:fillRect/>
                    </a:stretch>
                  </pic:blipFill>
                  <pic:spPr>
                    <a:xfrm>
                      <a:off x="0" y="0"/>
                      <a:ext cx="5852160" cy="3017520"/>
                    </a:xfrm>
                    <a:prstGeom prst="rect"/>
                  </pic:spPr>
                </pic:pic>
              </a:graphicData>
            </a:graphic>
          </wp:inline>
        </w:drawing>
      </w:r>
    </w:p>
    <w:p>
      <w:pPr>
        <w:pStyle w:val="Caption"/>
      </w:pPr>
      <w:r>
        <w:t>Figure 2  Synthetic low rating proportions by generated product category</w:t>
      </w:r>
    </w:p>
    <w:p>
      <w:r>
        <w:t>The plotted values reflect random generation and cleaning choices. They cannot rank actual categories by quality. A real business should investigate differences only after accounting for sample size, product mix, collection period and changes in who leaves reviews. A high observed low rating share can reflect expectations, packaging problems, selection bias or other factors; the chart alone cannot identify the explanation.</w:t>
      </w:r>
    </w:p>
    <w:p>
      <w:pPr>
        <w:pStyle w:val="Heading1"/>
      </w:pPr>
      <w:r>
        <w:t>Statistical and visualization methods</w:t>
      </w:r>
    </w:p>
    <w:tbl>
      <w:tblPr>
        <w:tblW w:type="auto" w:w="0"/>
        <w:tblLayout w:type="fixed"/>
        <w:tblLook w:firstColumn="1" w:firstRow="1" w:lastColumn="0" w:lastRow="0" w:noHBand="0" w:noVBand="1" w:val="04A0"/>
      </w:tblPr>
      <w:tblGrid>
        <w:gridCol w:w="2592"/>
        <w:gridCol w:w="3600"/>
        <w:gridCol w:w="3744"/>
      </w:tblGrid>
      <w:tr>
        <w:trPr>
          <w:tblHeader/>
        </w:trP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Method</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Purpose</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Interpretation limit</w:t>
            </w:r>
          </w:p>
        </w:tc>
      </w:tr>
      <w:t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Descriptive counts and proportions</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Rating and missingness profiles</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Describe the observed sample only</w:t>
            </w:r>
          </w:p>
        </w:tc>
      </w:tr>
      <w:t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Boxplots and length histograms</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Length distribution by binary label</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Long text is not inherently dissatisfied</w:t>
            </w:r>
          </w:p>
        </w:tc>
      </w:tr>
      <w:t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Contingency tables and chi square</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Theme and category association</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Expected cell counts must be adequate; use an alternative if sparse</w:t>
            </w:r>
          </w:p>
        </w:tc>
      </w:tr>
      <w:t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Mann Whitney U and effect size</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Compare length distributions</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Does not by itself establish a median difference or causation</w:t>
            </w:r>
          </w:p>
        </w:tc>
      </w:tr>
      <w:t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Product clustered bootstrap</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Intervals for rates and model differences</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Depends on product sampling assumptions</w:t>
            </w:r>
          </w:p>
        </w:tc>
      </w:tr>
      <w:tr>
        <w:tc>
          <w:tcPr>
            <w:tcW w:type="dxa" w:w="259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spacing w:after="60"/>
            </w:pPr>
            <w:r>
              <w:rPr>
                <w:b w:val="0"/>
                <w:sz w:val="19"/>
              </w:rPr>
              <w:t>Time plots and later period holdout</w:t>
            </w:r>
          </w:p>
        </w:tc>
        <w:tc>
          <w:tcPr>
            <w:tcW w:type="dxa" w:w="360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spacing w:after="60"/>
            </w:pPr>
            <w:r>
              <w:rPr>
                <w:b w:val="0"/>
                <w:sz w:val="19"/>
              </w:rPr>
              <w:t>Detect temporal shift</w:t>
            </w:r>
          </w:p>
        </w:tc>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spacing w:after="60"/>
            </w:pPr>
            <w:r>
              <w:rPr>
                <w:b w:val="0"/>
                <w:sz w:val="19"/>
              </w:rPr>
              <w:t>Dates must be valid and ordered</w:t>
            </w:r>
          </w:p>
        </w:tc>
      </w:tr>
    </w:tbl>
    <w:p>
      <w:pPr>
        <w:spacing w:after="0"/>
      </w:pPr>
    </w:p>
    <w:p>
      <w:r>
        <w:t>pandas provides grouped counts and quantiles; matplotlib supplies the executed plots. seaborn and SciPy are suitable optional tools for boxplots and statistical tests, but they are not dependencies of the current runnable demonstration because those tests are planned rather than executed. Report effect sizes and uncertainty with adjusted exploratory p values; avoid declaring business importance from a small p value alone.</w:t>
      </w:r>
    </w:p>
    <w:p>
      <w:pPr>
        <w:pStyle w:val="Heading1"/>
      </w:pPr>
      <w:r>
        <w:t>Feature inventory and implementation status</w:t>
      </w:r>
    </w:p>
    <w:tbl>
      <w:tblPr>
        <w:tblW w:type="auto" w:w="0"/>
        <w:tblLayout w:type="fixed"/>
        <w:tblLook w:firstColumn="1" w:firstRow="1" w:lastColumn="0" w:lastRow="0" w:noHBand="0" w:noVBand="1" w:val="04A0"/>
      </w:tblPr>
      <w:tblGrid>
        <w:gridCol w:w="2304"/>
        <w:gridCol w:w="3312"/>
        <w:gridCol w:w="4320"/>
      </w:tblGrid>
      <w:tr>
        <w:trPr>
          <w:tblHeader/>
        </w:trP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Feature</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Definition</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shd w:fill="DFE8EE"/>
          </w:tcPr>
          <w:p>
            <w:pPr>
              <w:keepNext/>
              <w:spacing w:after="60"/>
            </w:pPr>
            <w:r>
              <w:rPr>
                <w:b/>
                <w:sz w:val="19"/>
              </w:rPr>
              <w:t>Status and rationale</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TF IDF unigram</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Weighted single word occurrence</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Implemented; compact interpretable baseline</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TF IDF bigram</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Weighted adjacent word pair</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Implemented; can retain short negation context</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Word count</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Number of whitespace separated tokens</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Computed for EDA; not fed into current models</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Log length</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log1p of word count</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Proposed; reduces influence of very long text</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Complaint theme indicators</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Reviewed texture packaging value terms</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tcPr>
          <w:p>
            <w:pPr>
              <w:keepNext/>
              <w:spacing w:after="60"/>
            </w:pPr>
            <w:r>
              <w:rPr>
                <w:b w:val="0"/>
                <w:sz w:val="19"/>
              </w:rPr>
              <w:t>Proposed; audit ambiguity and evaluate incremental value</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Category encoding</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One hot product category</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shd w:fill="F5F7F9"/>
          </w:tcPr>
          <w:p>
            <w:pPr>
              <w:keepNext/>
              <w:spacing w:after="60"/>
            </w:pPr>
            <w:r>
              <w:rPr>
                <w:b w:val="0"/>
                <w:sz w:val="19"/>
              </w:rPr>
              <w:t>Proposed; unknown category handling required</w:t>
            </w:r>
          </w:p>
        </w:tc>
      </w:tr>
      <w:tr>
        <w:tc>
          <w:tcPr>
            <w:tcW w:type="dxa" w:w="230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Theme by category interaction</w:t>
            </w:r>
          </w:p>
        </w:tc>
        <w:tc>
          <w:tcPr>
            <w:tcW w:type="dxa" w:w="3312"/>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Theme flag multiplied by category indicator</w:t>
            </w:r>
          </w:p>
        </w:tc>
        <w:tc>
          <w:tcPr>
            <w:tcW w:type="dxa" w:w="432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pPr>
            <w:r>
              <w:rPr>
                <w:b w:val="0"/>
                <w:sz w:val="19"/>
              </w:rPr>
              <w:t>Proposed; useful only with adequate segment coverage</w:t>
            </w:r>
          </w:p>
        </w:tc>
      </w:tr>
    </w:tbl>
    <w:p>
      <w:pPr>
        <w:spacing w:after="0"/>
      </w:pPr>
    </w:p>
    <w:p>
      <w:pPr>
        <w:pStyle w:val="Heading1"/>
      </w:pPr>
      <w:r>
        <w:t>Feature construction and leakage prevention</w:t>
      </w:r>
    </w:p>
    <w:p>
      <w:r>
        <w:t>The TF IDF vocabulary is learned only from training text. Document frequency filtering suppresses rare terms that may be unstable. Unigram and bigram features provide a modest language representation appropriate for a beginner project and sparse linear models. Their scores describe textual association, not causal drivers of dissatisfaction.</w:t>
      </w:r>
    </w:p>
    <w:p>
      <w:r>
        <w:t>Candidate theme features could flag packaging words such as leaked or broken, but a rule must handle statements such as “the bottle never leaked.” A small manually annotated sample should measure theme extraction precision before a theme dashboard is trusted. Do not use the target rating or variables derived from it as an input. Exclude future moderation outcomes and future helpfulness totals because they are unavailable at the prediction moment.</w:t>
      </w:r>
    </w:p>
    <w:p>
      <w:r>
        <w:t>The engineered word count can be combined with text in a future ColumnTransformer, with log transformation and scaling fitted only on training rows. Do not densify a large sparse text matrix merely to add one feature. Keep a data dictionary and version the feature list so that comparison results can be reproduced.</w:t>
      </w:r>
    </w:p>
    <w:p>
      <w:pPr>
        <w:pStyle w:val="Heading1"/>
      </w:pPr>
      <w:r>
        <w:t>Ablation and hypothetical business scenario</w:t>
      </w:r>
    </w:p>
    <w:p>
      <w:r>
        <w:t>Use fixed partitions to compare text alone with text plus log length, then text plus validated theme indicators. Set the feature selection rule using validation F1 and operational queue precision. Inspect category level tradeoffs rather than accepting a tiny overall improvement that hides a severe segment failure. Perform the final test only after the feature set is frozen. These ablations are proposed; the executed project remains text only.</w:t>
      </w:r>
    </w:p>
    <w:p>
      <w:r>
        <w:t>Consider a hypothetical analyst who observes packaging terms in several flagged comments for a lotion. The classifier places those comments in a queue; the analyst verifies the content and checks shipment or package records before contacting the operations team. If complaints are confirmed, the team can examine dispensing or packaging quality. No such incident or business improvement was observed in the synthetic project. The example explains a decision pathway, not an accomplished outcome.</w:t>
      </w:r>
    </w:p>
    <w:p>
      <w:pPr>
        <w:pStyle w:val="Heading1"/>
      </w:pPr>
      <w:r>
        <w:t>Deliverables and handoff</w:t>
      </w:r>
    </w:p>
    <w:p>
      <w:r>
        <w:t>The completed EDA evidence consists of rating and category PNGs, the clean synthetic CSV and the word count field. The model handoff is a clearly separated implemented feature set and an extension plan. This avoids claiming that every proposed feature was tested. Week 5 compares models using the existing TF IDF representation, and Week 6 interprets their measured synthetic performance.</w:t>
      </w:r>
    </w:p>
    <w:p>
      <w:pPr>
        <w:pStyle w:val="Heading1"/>
      </w:pPr>
      <w:r>
        <w:t>References</w:t>
      </w:r>
    </w:p>
    <w:p>
      <w:r>
        <w:t>[R5] scikit learn documentation. Common pitfalls and recommended practices. https://scikit-learn.org/stable/common_pitfalls.html Accessed 25 October 2026.</w:t>
      </w:r>
    </w:p>
    <w:p>
      <w:r>
        <w:t>[R6] scikit learn documentation. Metrics and scoring quantifying the quality of predictions. https://scikit-learn.org/stable/modules/model_evaluation.html Accessed 25 October 2026.</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Yuvaintern   |   Data Science with Python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 Nithish Kumar   |   Beauty Review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