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Predictive Modeling and Algorithm Selection</w:t>
      </w:r>
    </w:p>
    <w:p>
      <w:pPr>
        <w:pStyle w:val="Subtitle"/>
      </w:pPr>
      <w:r>
        <w:t>Week 5 internship report</w:t>
      </w:r>
    </w:p>
    <w:p>
      <w:r>
        <w:t>Prepared for Yuvaintern by M Nithish Kumar</w:t>
        <w:br/>
        <w:t>25 October 2026</w:t>
      </w:r>
    </w:p>
    <w:p>
      <w:r>
        <w:t>Project scope and evidence status. This report forms part of a six week project on classifying beauty product review text for customer feedback triage. The practical work uses generated synthetic records only. Public sources support the business context and future data sourcing plan; no real customer dataset was downloaded or analyzed. Numerical results describe an executed simulation, and proposed real world tests are identified separately. The assignment explicitly permits simulation and planning.</w:t>
      </w:r>
    </w:p>
    <w:p>
      <w:pPr>
        <w:pStyle w:val="Heading1"/>
      </w:pPr>
      <w:r>
        <w:t>Modeling task and selection decision</w:t>
      </w:r>
    </w:p>
    <w:p>
      <w:r>
        <w:t>The predictive task is binary classification of a rating proxy from already received review text. It is not forecasting future customer purchases or identifying a medical condition. The positive class is a rating of 1 or 2. Logistic regression and multinomial naive Bayes are compared using identical training, validation and test partitions and identical TF IDF settings. A prior baseline shows what happens without informative text.</w:t>
      </w:r>
    </w:p>
    <w:p>
      <w:r>
        <w:t>Logistic regression was selected using validation F1 before inspecting final test metrics. Its validation F1 was 0.8254 versus 0.7869 for naive Bayes. The selected threshold was 0.45. This is an actual decision from the synthetic run, not evidence that logistic regression is universally superior for beauty reviews.</w:t>
      </w:r>
    </w:p>
    <w:p>
      <w:pPr>
        <w:pStyle w:val="Heading1"/>
      </w:pPr>
      <w:r>
        <w:t>Input representation and excluded variables</w:t>
      </w:r>
    </w:p>
    <w:p>
      <w:r>
        <w:t>TfidfVectorizer uses unigrams and bigrams, min_df of two and max_features of 10,000. Its learned vocabulary and inverse document frequency weights come from training text only. Default L2 normalization keeps document vectors on a comparable scale. The sparse matrix is passed directly to each classifier.</w:t>
      </w:r>
    </w:p>
    <w:p>
      <w:r>
        <w:t>The rating defines the outcome and is excluded from features. Product ID is a partition key. Category, date, verified status and word count are available for audit or exploratory work but are not used by the implemented models. This keeps the baseline comparison easy to explain and prevents confusion between proposed engineered features and features actually tested.</w:t>
      </w:r>
    </w:p>
    <w:p>
      <w:pPr>
        <w:pStyle w:val="Heading1"/>
      </w:pPr>
      <w:r>
        <w:t>Model comparison and rationale</w:t>
      </w:r>
    </w:p>
    <w:tbl>
      <w:tblPr>
        <w:tblW w:type="auto" w:w="0"/>
        <w:tblLayout w:type="fixed"/>
        <w:tblLook w:firstColumn="1" w:firstRow="1" w:lastColumn="0" w:lastRow="0" w:noHBand="0" w:noVBand="1" w:val="04A0"/>
      </w:tblPr>
      <w:tblGrid>
        <w:gridCol w:w="2448"/>
        <w:gridCol w:w="3600"/>
        <w:gridCol w:w="3888"/>
      </w:tblGrid>
      <w:tr>
        <w:trPr>
          <w:tblHeader/>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Model</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Strengths</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Weaknesses and settings</w:t>
            </w:r>
          </w:p>
        </w:tc>
      </w:tr>
      <w:t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Logistic regression</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Strong sparse text baseline; regularization; readable coefficient associations</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Linear boundary; C equals 1 and max_iter equals 1000; scores need calibration checks</w:t>
            </w:r>
          </w:p>
        </w:tc>
      </w:tr>
      <w:t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Multinomial naive Bayes</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Fast; suitable for nonnegative sparse counts or weighted text; simple baseline</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Conditional independence approximation; alpha equals 1; probabilities can be overconfident</w:t>
            </w:r>
          </w:p>
        </w:tc>
      </w:tr>
      <w:t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Prior baseline</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No text information; reveals misleading majority accuracy</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Uses training class prior and threshold 0.5; cannot prioritize individual text</w:t>
            </w:r>
          </w:p>
        </w:tc>
      </w:tr>
    </w:tbl>
    <w:p>
      <w:pPr>
        <w:spacing w:after="0"/>
      </w:pPr>
    </w:p>
    <w:p>
      <w:r>
        <w:t>Linear regression is not selected because the outcome is a binary class rather than a continuous amount. Clustering could explore themes but cannot directly supply a supervised low rating prediction without an additional labeling step. A deep neural model is deferred because the current generated data does not justify its complexity. The choice prioritizes an auditable, reproducible comparison rather than model variety for its own sake.</w:t>
      </w:r>
    </w:p>
    <w:p>
      <w:pPr>
        <w:pStyle w:val="Heading1"/>
      </w:pPr>
      <w:r>
        <w:t>Partition design and leakage controls</w:t>
      </w:r>
    </w:p>
    <w:tbl>
      <w:tblPr>
        <w:tblW w:type="auto" w:w="0"/>
        <w:tblLayout w:type="fixed"/>
        <w:tblLook w:firstColumn="1" w:firstRow="1" w:lastColumn="0" w:lastRow="0" w:noHBand="0" w:noVBand="1" w:val="04A0"/>
      </w:tblPr>
      <w:tblGrid>
        <w:gridCol w:w="2592"/>
        <w:gridCol w:w="1584"/>
        <w:gridCol w:w="1728"/>
        <w:gridCol w:w="4032"/>
      </w:tblGrid>
      <w:tr>
        <w:trPr>
          <w:tblHeader/>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Partition</w:t>
            </w:r>
          </w:p>
        </w:tc>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Reviews</w:t>
            </w:r>
          </w:p>
        </w:tc>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Products</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Low rating share</w:t>
            </w:r>
          </w:p>
        </w:tc>
      </w:tr>
      <w:t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Train</w:t>
            </w:r>
          </w:p>
        </w:tc>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803</w:t>
            </w:r>
          </w:p>
        </w:tc>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72</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38.5%</w:t>
            </w:r>
          </w:p>
        </w:tc>
      </w:tr>
      <w:t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Validation</w:t>
            </w:r>
          </w:p>
        </w:tc>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247</w:t>
            </w:r>
          </w:p>
        </w:tc>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24</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37.7%</w:t>
            </w:r>
          </w:p>
        </w:tc>
      </w:tr>
      <w:t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Test</w:t>
            </w:r>
          </w:p>
        </w:tc>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266</w:t>
            </w:r>
          </w:p>
        </w:tc>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24</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42.9%</w:t>
            </w:r>
          </w:p>
        </w:tc>
      </w:tr>
    </w:tbl>
    <w:p>
      <w:pPr>
        <w:spacing w:after="0"/>
      </w:pPr>
    </w:p>
    <w:p>
      <w:r>
        <w:t>GroupShuffleSplit allocates about 60 percent of products to training, 20 percent to validation and 20 percent to test. Product counts are exactly 72, 24 and 24; review counts differ because cleaning retains different numbers of rows per product. The split is not stratified, so label prevalence differs. Both classes are asserted to exist in every partition. The code checks zero product overlap and zero exact normalized text overlap. No reviewer grouping is implemented because the synthetic data has no reviewer identifier.</w:t>
      </w:r>
    </w:p>
    <w:p>
      <w:pPr>
        <w:pStyle w:val="Heading1"/>
      </w:pPr>
      <w:r>
        <w:t>Validation and threshold selection</w:t>
      </w:r>
    </w:p>
    <w:p>
      <w:r>
        <w:t>Fit each pipeline once on the training partition. Compute validation scores and search thresholds from 0.10 through 0.90 in increments of 0.05. Select the threshold with highest validation F1; ties follow the first encountered threshold. Select the model with higher validation F1. Keep that decision fixed for final holdout evaluation. No model was refitted using test data.</w:t>
      </w:r>
    </w:p>
    <w:p>
      <w:r>
        <w:t>This is a simple holdout validation design, not executed cross validation or exhaustive hyperparameter tuning. For real data, use repeated group aware cross validation within development data, then a final unseen product holdout. Add a chronological holdout to assess later feedback. Avoid repeated threshold changes after seeing test errors. If changes are made, a new untouched test sample is needed.</w:t>
      </w:r>
    </w:p>
    <w:p>
      <w:r>
        <w:t>The selected threshold balances precision and recall in this demonstration. A real support team might prefer a different cost tradeoff or a maximum queue size. Choose such an operating point using validation data and stakeholder review, not by maximizing final test performance.</w:t>
      </w:r>
    </w:p>
    <w:p>
      <w:pPr>
        <w:pStyle w:val="Heading1"/>
      </w:pPr>
      <w:r>
        <w:t>Evaluation metrics and interpretation</w:t>
      </w:r>
    </w:p>
    <w:p>
      <w:r>
        <w:t>Precision is the fraction of flagged reviews that are actually low rating. Recall is the fraction of all low rating reviews found by the system. F1 balances these two measures through their harmonic mean. Accuracy counts all correct labels but can appear acceptable when the model ignores a minority class. Average precision summarizes the ranking across recall levels, while ROC AUC measures positive versus negative ranking over thresholds [R6].</w:t>
      </w:r>
    </w:p>
    <w:p>
      <w:r>
        <w:t>Average precision is reported explicitly and is not renamed trapezoidal PR AUC, because those summaries are not always identical. Probability calibration is not assessed by ranking scores alone. A subsequent real data pilot should inspect reliability diagrams and Brier score before interpreting raw model scores as reliable probabilities. RMSE is not a primary metric for this binary triage task.</w:t>
      </w:r>
    </w:p>
    <w:p>
      <w:pPr>
        <w:pStyle w:val="Heading1"/>
      </w:pPr>
      <w:r>
        <w:t>Measured synthetic model comparison</w:t>
      </w:r>
    </w:p>
    <w:tbl>
      <w:tblPr>
        <w:tblW w:type="auto" w:w="0"/>
        <w:tblLayout w:type="fixed"/>
        <w:tblLook w:firstColumn="1" w:firstRow="1" w:lastColumn="0" w:lastRow="0" w:noHBand="0" w:noVBand="1" w:val="04A0"/>
      </w:tblPr>
      <w:tblGrid>
        <w:gridCol w:w="3528"/>
        <w:gridCol w:w="1584"/>
        <w:gridCol w:w="1512"/>
        <w:gridCol w:w="1440"/>
        <w:gridCol w:w="1872"/>
      </w:tblGrid>
      <w:tr>
        <w:trPr>
          <w:tblHeader/>
        </w:trPr>
        <w:tc>
          <w:tcPr>
            <w:tcW w:type="dxa" w:w="3528"/>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Model</w:t>
            </w:r>
          </w:p>
        </w:tc>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Precision</w:t>
            </w:r>
          </w:p>
        </w:tc>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Recall</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F1</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Average precision</w:t>
            </w:r>
          </w:p>
        </w:tc>
      </w:tr>
      <w:tr>
        <w:tc>
          <w:tcPr>
            <w:tcW w:type="dxa" w:w="3528"/>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Logistic regression</w:t>
            </w:r>
          </w:p>
        </w:tc>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0.820</w:t>
            </w:r>
          </w:p>
        </w:tc>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0.719</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0.766</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0.785</w:t>
            </w:r>
          </w:p>
        </w:tc>
      </w:tr>
      <w:tr>
        <w:tc>
          <w:tcPr>
            <w:tcW w:type="dxa" w:w="352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Multinomial naive Bayes</w:t>
            </w:r>
          </w:p>
        </w:tc>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0.796</w:t>
            </w:r>
          </w:p>
        </w:tc>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0.719</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0.756</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0.781</w:t>
            </w:r>
          </w:p>
        </w:tc>
      </w:tr>
      <w:tr>
        <w:tc>
          <w:tcPr>
            <w:tcW w:type="dxa" w:w="35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Prior baseline</w:t>
            </w:r>
          </w:p>
        </w:tc>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0.000</w:t>
            </w:r>
          </w:p>
        </w:tc>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0.000</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0.000</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0.429</w:t>
            </w:r>
          </w:p>
        </w:tc>
      </w:tr>
    </w:tbl>
    <w:p>
      <w:pPr>
        <w:spacing w:after="0"/>
      </w:pPr>
    </w:p>
    <w:p>
      <w:r>
        <w:t>The prior baseline achieves accuracy of 0.571 while finding no positive reviews at threshold 0.5. This illustrates why accuracy is insufficient. Logistic regression performs slightly better than naive Bayes in the artificial holdout, but the difference is small and is not accompanied by a paired product clustered significance analysis. A real data winner cannot be inferred from these numbers.</w:t>
      </w:r>
    </w:p>
    <w:p>
      <w:pPr>
        <w:pStyle w:val="Heading1"/>
      </w:pPr>
      <w:r>
        <w:t>Overfitting underfitting and robustness</w:t>
      </w:r>
    </w:p>
    <w:p>
      <w:r>
        <w:t>Sparse regularization, a limited vocabulary and product disjoint partitions reduce some overfitting risks. They do not eliminate reliance on generated phrases. Underfitting can arise when linear word features cannot represent sarcasm, long context or mixed sentiment. Inspect learning curves and manually reviewed errors on development data before changing representation.</w:t>
      </w:r>
    </w:p>
    <w:p>
      <w:r>
        <w:t>For a real extension, compare categories, rare vocabulary, short versus long text and later periods. Test robustness to spelling errors and negation without adding synthetic examples to the final real test set. Investigate class weighting only within development data. Monitor provenance, near duplicates and source shifts. Feature ablations and C or alpha tuning are proposed improvements, not already completed experiments.</w:t>
      </w:r>
    </w:p>
    <w:p>
      <w:pPr>
        <w:pStyle w:val="Heading1"/>
      </w:pPr>
      <w:r>
        <w:t>Business handoff</w:t>
      </w:r>
    </w:p>
    <w:p>
      <w:r>
        <w:t>The selected model is an experimental candidate for a human reviewed pilot. It should not autonomously issue refunds, suppress reviews or make product safety determinations. A human analyst should see the original text and a clear label that the score is a triage aid. The next report translates the synthetic confusion matrix into queue counts and describes what real evidence is still needed before deployment.</w:t>
      </w:r>
    </w:p>
    <w:p>
      <w:pPr>
        <w:pStyle w:val="Heading1"/>
      </w:pPr>
      <w:r>
        <w:t>References</w:t>
      </w:r>
    </w:p>
    <w:p>
      <w:r>
        <w:t>[R5] scikit learn documentation. Common pitfalls and recommended practices. https://scikit-learn.org/stable/common_pitfalls.html Accessed 25 October 2026.</w:t>
      </w:r>
    </w:p>
    <w:p>
      <w:r>
        <w:t>[R6] scikit learn documentation. Metrics and scoring quantifying the quality of predictions. https://scikit-learn.org/stable/modules/model_evaluation.html Accessed 25 October 2026.</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Yuvaintern   |   Data Science with Python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M Nithish Kumar   |   Beauty Review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