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 Evaluation and Business Impact Report</w:t>
      </w:r>
    </w:p>
    <w:p>
      <w:pPr>
        <w:pStyle w:val="Subtitle"/>
      </w:pPr>
      <w:r>
        <w:t>Week 6 internship report</w:t>
      </w:r>
    </w:p>
    <w:p>
      <w:r>
        <w:t>Prepared for Yuvaintern by M Nithish Kumar</w:t>
        <w:br/>
        <w:t>25 October 2026</w:t>
      </w:r>
    </w:p>
    <w:p>
      <w:r>
        <w:t>Project scope and evidence status. This report forms part of a six week project on classifying beauty product review text for customer feedback triage. The practical work uses generated synthetic records only. Public sources support the business context and future data sourcing plan; no real customer dataset was downloaded or analyzed. Numerical results describe an executed simulation, and proposed real world tests are identified separately. The assignment explicitly permits simulation and planning.</w:t>
      </w:r>
    </w:p>
    <w:p>
      <w:pPr>
        <w:pStyle w:val="Heading1"/>
      </w:pPr>
      <w:r>
        <w:t>Decision summary</w:t>
      </w:r>
    </w:p>
    <w:p>
      <w:r>
        <w:t>The synthetic experiment demonstrates a functioning review classification workflow, but it does not justify live deployment. The selected logistic regression model correctly flags 82 of 114 low rating reviews in a 266 example synthetic holdout. It flags 18 other reviews and misses 32 low rating reviews. This gives precision of 82 percent and recall of approximately 72 percent. The appropriate next decision is a limited human labelled real data validation study.</w:t>
      </w:r>
    </w:p>
    <w:p>
      <w:r>
        <w:t>No reduction in customer churn, increase in revenue or improvement in customer satisfaction was measured. The recommendations below describe how stakeholders could test operational value. They do not represent actions already taken by a beauty brand.</w:t>
      </w:r>
    </w:p>
    <w:p>
      <w:pPr>
        <w:pStyle w:val="Heading1"/>
      </w:pPr>
      <w:r>
        <w:t>Evaluation framework and completed stages</w:t>
      </w:r>
    </w:p>
    <w:tbl>
      <w:tblPr>
        <w:tblW w:type="auto" w:w="0"/>
        <w:tblLayout w:type="fixed"/>
        <w:tblLook w:firstColumn="1" w:firstRow="1" w:lastColumn="0" w:lastRow="0" w:noHBand="0" w:noVBand="1" w:val="04A0"/>
      </w:tblPr>
      <w:tblGrid>
        <w:gridCol w:w="2160"/>
        <w:gridCol w:w="3816"/>
        <w:gridCol w:w="3960"/>
      </w:tblGrid>
      <w:tr>
        <w:trPr>
          <w:tblHeader/>
        </w:trPr>
        <w:tc>
          <w:tcPr>
            <w:tcW w:type="dxa" w:w="2160"/>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Stage</w:t>
            </w:r>
          </w:p>
        </w:tc>
        <w:tc>
          <w:tcPr>
            <w:tcW w:type="dxa" w:w="3816"/>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Current evidence</w:t>
            </w:r>
          </w:p>
        </w:tc>
        <w:tc>
          <w:tcPr>
            <w:tcW w:type="dxa" w:w="3960"/>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Further work</w:t>
            </w:r>
          </w:p>
        </w:tc>
      </w:tr>
      <w:tr>
        <w:tc>
          <w:tcPr>
            <w:tcW w:type="dxa" w:w="216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Data validation</w:t>
            </w:r>
          </w:p>
        </w:tc>
        <w:tc>
          <w:tcPr>
            <w:tcW w:type="dxa" w:w="3816"/>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Cleaning audit and schema rules executed</w:t>
            </w:r>
          </w:p>
        </w:tc>
        <w:tc>
          <w:tcPr>
            <w:tcW w:type="dxa" w:w="396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Verify real source and label quality</w:t>
            </w:r>
          </w:p>
        </w:tc>
      </w:tr>
      <w:tr>
        <w:tc>
          <w:tcPr>
            <w:tcW w:type="dxa" w:w="216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Leakage checks</w:t>
            </w:r>
          </w:p>
        </w:tc>
        <w:tc>
          <w:tcPr>
            <w:tcW w:type="dxa" w:w="3816"/>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Product and exact text disjointness asserted</w:t>
            </w:r>
          </w:p>
        </w:tc>
        <w:tc>
          <w:tcPr>
            <w:tcW w:type="dxa" w:w="396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Assess reviewers and near duplicates</w:t>
            </w:r>
          </w:p>
        </w:tc>
      </w:tr>
      <w:tr>
        <w:tc>
          <w:tcPr>
            <w:tcW w:type="dxa" w:w="216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Model selection</w:t>
            </w:r>
          </w:p>
        </w:tc>
        <w:tc>
          <w:tcPr>
            <w:tcW w:type="dxa" w:w="3816"/>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Validation F1 selected logistic regression at 0.45</w:t>
            </w:r>
          </w:p>
        </w:tc>
        <w:tc>
          <w:tcPr>
            <w:tcW w:type="dxa" w:w="396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Group aware development resampling</w:t>
            </w:r>
          </w:p>
        </w:tc>
      </w:tr>
      <w:tr>
        <w:tc>
          <w:tcPr>
            <w:tcW w:type="dxa" w:w="216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Final holdout</w:t>
            </w:r>
          </w:p>
        </w:tc>
        <w:tc>
          <w:tcPr>
            <w:tcW w:type="dxa" w:w="3816"/>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266 synthetic examples evaluated</w:t>
            </w:r>
          </w:p>
        </w:tc>
        <w:tc>
          <w:tcPr>
            <w:tcW w:type="dxa" w:w="396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Independent human labelled real holdout</w:t>
            </w:r>
          </w:p>
        </w:tc>
      </w:tr>
      <w:tr>
        <w:tc>
          <w:tcPr>
            <w:tcW w:type="dxa" w:w="216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Operational validation</w:t>
            </w:r>
          </w:p>
        </w:tc>
        <w:tc>
          <w:tcPr>
            <w:tcW w:type="dxa" w:w="3816"/>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Not performed</w:t>
            </w:r>
          </w:p>
        </w:tc>
        <w:tc>
          <w:tcPr>
            <w:tcW w:type="dxa" w:w="396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Silent pilot with analysts and queue timing</w:t>
            </w:r>
          </w:p>
        </w:tc>
      </w:tr>
      <w:tr>
        <w:tc>
          <w:tcPr>
            <w:tcW w:type="dxa" w:w="216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spacing w:after="60"/>
            </w:pPr>
            <w:r>
              <w:rPr>
                <w:b w:val="0"/>
                <w:sz w:val="19"/>
              </w:rPr>
              <w:t>Monitoring</w:t>
            </w:r>
          </w:p>
        </w:tc>
        <w:tc>
          <w:tcPr>
            <w:tcW w:type="dxa" w:w="3816"/>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spacing w:after="60"/>
            </w:pPr>
            <w:r>
              <w:rPr>
                <w:b w:val="0"/>
                <w:sz w:val="19"/>
              </w:rPr>
              <w:t>Proposed only</w:t>
            </w:r>
          </w:p>
        </w:tc>
        <w:tc>
          <w:tcPr>
            <w:tcW w:type="dxa" w:w="396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spacing w:after="60"/>
            </w:pPr>
            <w:r>
              <w:rPr>
                <w:b w:val="0"/>
                <w:sz w:val="19"/>
              </w:rPr>
              <w:t>Track drift error rates and review capacity</w:t>
            </w:r>
          </w:p>
        </w:tc>
      </w:tr>
    </w:tbl>
    <w:p>
      <w:pPr>
        <w:spacing w:after="0"/>
      </w:pPr>
    </w:p>
    <w:p>
      <w:pPr>
        <w:pStyle w:val="Heading1"/>
      </w:pPr>
      <w:r>
        <w:t>Performance table from the executed simulation</w:t>
      </w:r>
    </w:p>
    <w:tbl>
      <w:tblPr>
        <w:tblW w:type="auto" w:w="0"/>
        <w:tblLayout w:type="fixed"/>
        <w:tblLook w:firstColumn="1" w:firstRow="1" w:lastColumn="0" w:lastRow="0" w:noHBand="0" w:noVBand="1" w:val="04A0"/>
      </w:tblPr>
      <w:tblGrid>
        <w:gridCol w:w="3168"/>
        <w:gridCol w:w="1368"/>
        <w:gridCol w:w="1368"/>
        <w:gridCol w:w="1296"/>
        <w:gridCol w:w="1296"/>
        <w:gridCol w:w="1440"/>
      </w:tblGrid>
      <w:tr>
        <w:trPr>
          <w:tblHeader/>
        </w:trPr>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Model</w:t>
            </w:r>
          </w:p>
        </w:tc>
        <w:tc>
          <w:tcPr>
            <w:tcW w:type="dxa" w:w="1368"/>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Accuracy</w:t>
            </w:r>
          </w:p>
        </w:tc>
        <w:tc>
          <w:tcPr>
            <w:tcW w:type="dxa" w:w="1368"/>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Precision</w:t>
            </w:r>
          </w:p>
        </w:tc>
        <w:tc>
          <w:tcPr>
            <w:tcW w:type="dxa" w:w="1296"/>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Recall</w:t>
            </w:r>
          </w:p>
        </w:tc>
        <w:tc>
          <w:tcPr>
            <w:tcW w:type="dxa" w:w="1296"/>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F1</w:t>
            </w:r>
          </w:p>
        </w:tc>
        <w:tc>
          <w:tcPr>
            <w:tcW w:type="dxa" w:w="1440"/>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ROC AUC</w:t>
            </w:r>
          </w:p>
        </w:tc>
      </w:tr>
      <w:tr>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Logistic regression</w:t>
            </w:r>
          </w:p>
        </w:tc>
        <w:tc>
          <w:tcPr>
            <w:tcW w:type="dxa" w:w="1368"/>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0.812</w:t>
            </w:r>
          </w:p>
        </w:tc>
        <w:tc>
          <w:tcPr>
            <w:tcW w:type="dxa" w:w="1368"/>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0.820</w:t>
            </w:r>
          </w:p>
        </w:tc>
        <w:tc>
          <w:tcPr>
            <w:tcW w:type="dxa" w:w="1296"/>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0.719</w:t>
            </w:r>
          </w:p>
        </w:tc>
        <w:tc>
          <w:tcPr>
            <w:tcW w:type="dxa" w:w="1296"/>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0.766</w:t>
            </w:r>
          </w:p>
        </w:tc>
        <w:tc>
          <w:tcPr>
            <w:tcW w:type="dxa" w:w="144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0.824</w:t>
            </w:r>
          </w:p>
        </w:tc>
      </w:tr>
      <w:tr>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Multinomial naive Bayes</w:t>
            </w:r>
          </w:p>
        </w:tc>
        <w:tc>
          <w:tcPr>
            <w:tcW w:type="dxa" w:w="1368"/>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0.801</w:t>
            </w:r>
          </w:p>
        </w:tc>
        <w:tc>
          <w:tcPr>
            <w:tcW w:type="dxa" w:w="1368"/>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0.796</w:t>
            </w:r>
          </w:p>
        </w:tc>
        <w:tc>
          <w:tcPr>
            <w:tcW w:type="dxa" w:w="1296"/>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0.719</w:t>
            </w:r>
          </w:p>
        </w:tc>
        <w:tc>
          <w:tcPr>
            <w:tcW w:type="dxa" w:w="1296"/>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0.756</w:t>
            </w:r>
          </w:p>
        </w:tc>
        <w:tc>
          <w:tcPr>
            <w:tcW w:type="dxa" w:w="144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0.817</w:t>
            </w:r>
          </w:p>
        </w:tc>
      </w:tr>
      <w:tr>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Prior baseline</w:t>
            </w:r>
          </w:p>
        </w:tc>
        <w:tc>
          <w:tcPr>
            <w:tcW w:type="dxa" w:w="13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0.571</w:t>
            </w:r>
          </w:p>
        </w:tc>
        <w:tc>
          <w:tcPr>
            <w:tcW w:type="dxa" w:w="13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0.000</w:t>
            </w:r>
          </w:p>
        </w:tc>
        <w:tc>
          <w:tcPr>
            <w:tcW w:type="dxa" w:w="129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0.000</w:t>
            </w:r>
          </w:p>
        </w:tc>
        <w:tc>
          <w:tcPr>
            <w:tcW w:type="dxa" w:w="129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0.000</w:t>
            </w:r>
          </w:p>
        </w:tc>
        <w:tc>
          <w:tcPr>
            <w:tcW w:type="dxa" w:w="144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0.500</w:t>
            </w:r>
          </w:p>
        </w:tc>
      </w:tr>
    </w:tbl>
    <w:p>
      <w:pPr>
        <w:spacing w:after="0"/>
      </w:pPr>
    </w:p>
    <w:p>
      <w:r>
        <w:t>All values in this table are measured on generated data. Logistic regression was chosen on validation performance, not by the test table. Its average precision is 0.785 and its threshold is 0.45. The test low rating share is 42.9 percent, which affects precision and average precision. These quantities may change substantially when prevalence or language differs in a real feedback channel.</w:t>
      </w:r>
    </w:p>
    <w:p>
      <w:pPr>
        <w:pStyle w:val="Heading1"/>
      </w:pPr>
      <w:r>
        <w:t>Confusion matrix and queue interpretation</w:t>
      </w:r>
    </w:p>
    <w:p>
      <w:r>
        <w:drawing>
          <wp:inline xmlns:a="http://schemas.openxmlformats.org/drawingml/2006/main" xmlns:pic="http://schemas.openxmlformats.org/drawingml/2006/picture">
            <wp:extent cx="5120640" cy="3351692"/>
            <wp:docPr id="1" name="Picture 1"/>
            <wp:cNvGraphicFramePr>
              <a:graphicFrameLocks noChangeAspect="1"/>
            </wp:cNvGraphicFramePr>
            <a:graphic>
              <a:graphicData uri="http://schemas.openxmlformats.org/drawingml/2006/picture">
                <pic:pic>
                  <pic:nvPicPr>
                    <pic:cNvPr id="0" name="confusion.png"/>
                    <pic:cNvPicPr/>
                  </pic:nvPicPr>
                  <pic:blipFill>
                    <a:blip r:embed="rId11"/>
                    <a:stretch>
                      <a:fillRect/>
                    </a:stretch>
                  </pic:blipFill>
                  <pic:spPr>
                    <a:xfrm>
                      <a:off x="0" y="0"/>
                      <a:ext cx="5120640" cy="3351692"/>
                    </a:xfrm>
                    <a:prstGeom prst="rect"/>
                  </pic:spPr>
                </pic:pic>
              </a:graphicData>
            </a:graphic>
          </wp:inline>
        </w:drawing>
      </w:r>
    </w:p>
    <w:p>
      <w:pPr>
        <w:pStyle w:val="Caption"/>
      </w:pPr>
      <w:r>
        <w:t>Figure 1  Synthetic holdout results for the selected classifier</w:t>
      </w:r>
    </w:p>
    <w:p>
      <w:r>
        <w:t>A queue based on the selected threshold contains 100 reviews: 82 low rating reviews and 18 other reviews. The remaining 166 reviews contain 32 missed low rating cases and 134 correctly unflagged other cases. A queue size of 100 out of 266 does not mean workload is safely reduced by 62.4 percent; unflagged reviews may still require sampling, escalation or other business handling. No time measurement was collected.</w:t>
      </w:r>
    </w:p>
    <w:p>
      <w:pPr>
        <w:pStyle w:val="Heading1"/>
      </w:pPr>
      <w:r>
        <w:t>Precision and recall tradeoff</w:t>
      </w:r>
    </w:p>
    <w:p>
      <w:r>
        <w:drawing>
          <wp:inline xmlns:a="http://schemas.openxmlformats.org/drawingml/2006/main" xmlns:pic="http://schemas.openxmlformats.org/drawingml/2006/picture">
            <wp:extent cx="5852160" cy="3017520"/>
            <wp:docPr id="2" name="Picture 2"/>
            <wp:cNvGraphicFramePr>
              <a:graphicFrameLocks noChangeAspect="1"/>
            </wp:cNvGraphicFramePr>
            <a:graphic>
              <a:graphicData uri="http://schemas.openxmlformats.org/drawingml/2006/picture">
                <pic:pic>
                  <pic:nvPicPr>
                    <pic:cNvPr id="0" name="precision_recall.png"/>
                    <pic:cNvPicPr/>
                  </pic:nvPicPr>
                  <pic:blipFill>
                    <a:blip r:embed="rId12"/>
                    <a:stretch>
                      <a:fillRect/>
                    </a:stretch>
                  </pic:blipFill>
                  <pic:spPr>
                    <a:xfrm>
                      <a:off x="0" y="0"/>
                      <a:ext cx="5852160" cy="3017520"/>
                    </a:xfrm>
                    <a:prstGeom prst="rect"/>
                  </pic:spPr>
                </pic:pic>
              </a:graphicData>
            </a:graphic>
          </wp:inline>
        </w:drawing>
      </w:r>
    </w:p>
    <w:p>
      <w:pPr>
        <w:pStyle w:val="Caption"/>
      </w:pPr>
      <w:r>
        <w:t>Figure 2  Measured ranking curves on the synthetic holdout</w:t>
      </w:r>
    </w:p>
    <w:p>
      <w:r>
        <w:t>The curve illustrates why a threshold is an operating decision. Increasing the threshold generally shrinks the queue but can miss more dissatisfied feedback. Lowering it generally increases recall but can consume more analyst time. The dashed line is the test positive prevalence, a reference for an uninformative ranking. Threshold changes based on this final chart would require a new evaluation set before reporting a fresh unbiased result.</w:t>
      </w:r>
    </w:p>
    <w:p>
      <w:pPr>
        <w:pStyle w:val="Heading1"/>
      </w:pPr>
      <w:r>
        <w:t>Uncertainty and diagnostic limits</w:t>
      </w:r>
    </w:p>
    <w:p>
      <w:r>
        <w:t>A demonstration bootstrap resamples holdout rows 500 times with a fixed seed, holding the selected model and threshold constant. The resulting conditional F1 interval is approximately 0.703 to 0.820. This interval ignores product clustering, source uncertainty and model selection uncertainty. It is not a confidence interval for future business performance. A real study should resample independent product groups and compare models using paired predictions on identical samples.</w:t>
      </w:r>
    </w:p>
    <w:p>
      <w:r>
        <w:t>The current data is generated from a small phrase inventory, with deliberate label noise. Identical text conflict removal may remove difficult examples and change prevalence. The experiment has no multilingual assessment, reviewer grouping, probability calibration, causal inference or observed operations. The small observed difference between classifiers should therefore be interpreted cautiously. NIST’s risk framework provides broader context for treating reliability and ongoing measurement as lifecycle responsibilities [R8].</w:t>
      </w:r>
    </w:p>
    <w:p>
      <w:pPr>
        <w:pStyle w:val="Heading1"/>
      </w:pPr>
      <w:r>
        <w:t>Error review and proposed validation plan</w:t>
      </w:r>
    </w:p>
    <w:p>
      <w:r>
        <w:t>Review false positives and false negatives in outputs/test_predictions.csv alongside their text and label. For a real study, ask two annotators to assign dissatisfaction and complaint themes to a small development sample, reconcile disagreements and record the annotation rules. Star ratings remain a proxy rather than a definitive sentiment label. Separate mixed feedback and genuine safety escalation from the general queue.</w:t>
      </w:r>
    </w:p>
    <w:p>
      <w:r>
        <w:t>Collect a later real feedback sample for a locked final test. Freeze preprocessing, feature set, model and threshold first. Report subgroup sample sizes and metrics for categories, text lengths and supported languages. Run a silent pilot in which analysts compare existing handling with model prioritization while retaining normal escalation procedures. Record review time, queue precision, missed complaints and analyst disagreements. Do not make a deployment decision from model accuracy alone.</w:t>
      </w:r>
    </w:p>
    <w:p>
      <w:pPr>
        <w:pStyle w:val="Heading1"/>
      </w:pPr>
      <w:r>
        <w:t>Actionable recommendations for stakeholders</w:t>
      </w:r>
    </w:p>
    <w:tbl>
      <w:tblPr>
        <w:tblW w:type="auto" w:w="0"/>
        <w:tblLayout w:type="fixed"/>
        <w:tblLook w:firstColumn="1" w:firstRow="1" w:lastColumn="0" w:lastRow="0" w:noHBand="0" w:noVBand="1" w:val="04A0"/>
      </w:tblPr>
      <w:tblGrid>
        <w:gridCol w:w="3168"/>
        <w:gridCol w:w="3456"/>
        <w:gridCol w:w="3312"/>
      </w:tblGrid>
      <w:tr>
        <w:trPr>
          <w:tblHeader/>
        </w:trPr>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Recommendation</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Owner and measure</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Evidence required</w:t>
            </w:r>
          </w:p>
        </w:tc>
      </w:tr>
      <w:tr>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Use rating filters when ratings exist</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Customer experience analyst; queue relevance</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Compare with text model only where it adds information</w:t>
            </w:r>
          </w:p>
        </w:tc>
      </w:tr>
      <w:tr>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Validate on unrated feedback before use</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Data analyst; manual label agreement and F1</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Independent real channel sample</w:t>
            </w:r>
          </w:p>
        </w:tc>
      </w:tr>
      <w:tr>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Inspect recurring verified themes</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Product and operations team; confirmed issue counts</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Read comments and check operational records</w:t>
            </w:r>
          </w:p>
        </w:tc>
      </w:tr>
      <w:tr>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Set capacity aware threshold</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Support lead; reviews per day and missed issue rate</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Validation scores plus pilot timing</w:t>
            </w:r>
          </w:p>
        </w:tc>
      </w:tr>
      <w:tr>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Monitor before expanding</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Data analyst; drift and sampled error rates</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New feedback and periodic manual audits</w:t>
            </w:r>
          </w:p>
        </w:tc>
      </w:tr>
    </w:tbl>
    <w:p>
      <w:pPr>
        <w:spacing w:after="0"/>
      </w:pPr>
    </w:p>
    <w:p>
      <w:pPr>
        <w:pStyle w:val="Heading1"/>
      </w:pPr>
      <w:r>
        <w:t>Illustrative cost framework</w:t>
      </w:r>
    </w:p>
    <w:p>
      <w:r>
        <w:t>A stakeholder can evaluate a queue using expected cost equal to missed low rating reviews multiplied by a missed issue cost, plus incorrectly flagged other reviews multiplied by unnecessary review cost. Applying the synthetic counts gives 32 times the chosen missed issue cost plus 18 times the unnecessary review cost. These costs have not been estimated, and the formula is not a measured financial return.</w:t>
      </w:r>
    </w:p>
    <w:p>
      <w:r>
        <w:t>For an explicitly hypothetical example, assuming INR 20 for each missed issue and INR 2 for each unnecessary review produces INR 676 in this simplified error cost. Those assumptions are invented only to demonstrate calculation. They exclude analyst time on true positives, severity differences and the cost of reviewing unflagged feedback. Real operational savings require a comparison workflow, measured timings and observed outcomes, ideally through a controlled pilot.</w:t>
      </w:r>
    </w:p>
    <w:p>
      <w:pPr>
        <w:pStyle w:val="Heading1"/>
      </w:pPr>
      <w:r>
        <w:t>Final conclusion and deliverable traceability</w:t>
      </w:r>
    </w:p>
    <w:p>
      <w:r>
        <w:t>The six week project connects a precise beauty feedback problem to source assessment, a documented cleaning pipeline, descriptive EDA, two text classifiers and an interpretable evaluation. Its completed technical contribution is a reproducible synthetic demonstration. The recommended next step is real data validation followed by a human reviewed operational pilot, rather than claims of production readiness.</w:t>
      </w:r>
    </w:p>
    <w:p>
      <w:r>
        <w:t>The repository includes the six Word reports, raw and clean synthetic CSVs, src/run_project.py, requirements-lock.txt, cleaning_audit.json, model_metrics.csv, summary.json, partition_manifest.csv, test_predictions.csv and chart PNGs. The submission descriptions accompany the reports. No internship portal submission or certified working hours are implied by these artifacts.</w:t>
      </w:r>
    </w:p>
    <w:p>
      <w:pPr>
        <w:pStyle w:val="Heading1"/>
        <w:keepNext/>
        <w:spacing w:after="60"/>
      </w:pPr>
      <w:r>
        <w:t>References</w:t>
      </w:r>
    </w:p>
    <w:p>
      <w:pPr>
        <w:keepNext/>
        <w:spacing w:after="60"/>
      </w:pPr>
      <w:r>
        <w:rPr>
          <w:sz w:val="18"/>
        </w:rPr>
        <w:t>[R6] scikit learn documentation. Metrics and scoring quantifying the quality of predictions. https://scikit-learn.org/stable/modules/model_evaluation.html Accessed 25 October 2026.</w:t>
      </w:r>
    </w:p>
    <w:p>
      <w:pPr>
        <w:keepNext w:val="0"/>
        <w:spacing w:after="60"/>
      </w:pPr>
      <w:r>
        <w:rPr>
          <w:sz w:val="18"/>
        </w:rPr>
        <w:t>[R8] NIST 2023. Artificial Intelligence Risk Management Framework AI RMF 1 point 0. https://nvlpubs.nist.gov/nistpubs/ai/NIST.AI.100-1.pdf Accessed 25 October 2026.</w:t>
      </w:r>
    </w:p>
    <w:sectPr w:rsidR="00FC693F" w:rsidRPr="0006063C" w:rsidSect="00034616">
      <w:headerReference w:type="default" r:id="rId9"/>
      <w:footerReference w:type="default" r:id="rId10"/>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Yuvaintern   |   Data Science with Python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 Nithish Kumar   |   Beauty Review Intelligence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