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Executed Cleaning Pipeline for Public Beauty Reviews</w:t>
      </w:r>
    </w:p>
    <w:p>
      <w:pPr>
        <w:pStyle w:val="Subtitle"/>
      </w:pPr>
      <w:r>
        <w:t>Week 3 report   |   Data Science with Python</w:t>
      </w:r>
    </w:p>
    <w:p>
      <w:r>
        <w:t>Prepared by M Nithish Kumar</w:t>
        <w:br/>
        <w:t>Revised 30 October 2026</w:t>
      </w:r>
    </w:p>
    <w:p>
      <w:r>
        <w:t>This Week 3 revision replaces the earlier planning and synthetic demonstration with an executed study of real public Amazon beauty product reviews. The Week 1 problem remains classification of low rating feedback from review text: ratings 1 and 2 are positive, and ratings 3 through 5 are the other class. The original Week 1 submission is retained as historical project definition. No customer contact, live deployment or financial benefit is claimed.</w:t>
      </w:r>
    </w:p>
    <w:p>
      <w:pPr>
        <w:pStyle w:val="Heading1"/>
      </w:pPr>
      <w:r>
        <w:t>Purpose and completed result</w:t>
      </w:r>
    </w:p>
    <w:p>
      <w:r>
        <w:t>The cleaning pipeline converts a fixed sample of 30,000 genuine public review records into 27,609 usable examples with valid labels, product coverage and nonempty normalized text. Every removal is counted. No missing value, outlier or duplicate is invented to make the pipeline look more substantial. The records analyzed here differ from the earlier synthetic demonstration; this report supersedes its cleaning counts.</w:t>
      </w:r>
    </w:p>
    <w:p>
      <w:r>
        <w:t>The source is read from checksummed compressed JSON lines. The pipeline samples before inspecting target distribution, joins metadata through ASIN, validates necessary fields, normalizes review text and deduplicates exact normalized bodies. It computes explanatory style features and then partitions by product. Learned vocabulary and numerical scaling are fitted inside model pipelines only after splitting [R3].</w:t>
      </w:r>
    </w:p>
    <w:p>
      <w:pPr>
        <w:pStyle w:val="Heading1"/>
      </w:pPr>
      <w:r>
        <w:t>Observed input issues and processing order</w:t>
      </w:r>
    </w:p>
    <w:tbl>
      <w:tblPr>
        <w:tblW w:type="auto" w:w="0"/>
        <w:tblLayout w:type="fixed"/>
        <w:tblLook w:firstColumn="1" w:firstRow="1" w:lastColumn="0" w:lastRow="0" w:noHBand="0" w:noVBand="1" w:val="04A0"/>
      </w:tblPr>
      <w:tblGrid>
        <w:gridCol w:w="2592"/>
        <w:gridCol w:w="1152"/>
        <w:gridCol w:w="1296"/>
        <w:gridCol w:w="5011"/>
      </w:tblGrid>
      <w:tr>
        <w:trPr>
          <w:tblHeade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Stage</w:t>
            </w:r>
          </w:p>
        </w:tc>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Removed</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Remaining</w:t>
            </w:r>
          </w:p>
        </w:tc>
        <w:tc>
          <w:tcPr>
            <w:tcW w:type="dxa" w:w="501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Reason</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Uniform source sample</w:t>
            </w:r>
          </w:p>
        </w:tc>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30000</w:t>
            </w:r>
          </w:p>
        </w:tc>
        <w:tc>
          <w:tcPr>
            <w:tcW w:type="dxa" w:w="501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Fixed size before cleaning</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Invalid rating</w:t>
            </w:r>
          </w:p>
        </w:tc>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30000</w:t>
            </w:r>
          </w:p>
        </w:tc>
        <w:tc>
          <w:tcPr>
            <w:tcW w:type="dxa" w:w="501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Only integer stars 1 through 5</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Missing product key</w:t>
            </w:r>
          </w:p>
        </w:tc>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30000</w:t>
            </w:r>
          </w:p>
        </w:tc>
        <w:tc>
          <w:tcPr>
            <w:tcW w:type="dxa" w:w="501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Group evaluation needs item identity</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No metadata title match</w:t>
            </w:r>
          </w:p>
        </w:tc>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441</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29559</w:t>
            </w:r>
          </w:p>
        </w:tc>
        <w:tc>
          <w:tcPr>
            <w:tcW w:type="dxa" w:w="501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Coverage quarantine including inspected book example</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Empty normalized body</w:t>
            </w:r>
          </w:p>
        </w:tc>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31</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29528</w:t>
            </w:r>
          </w:p>
        </w:tc>
        <w:tc>
          <w:tcPr>
            <w:tcW w:type="dxa" w:w="501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Text model cannot use an absent body</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Repeated normalized body</w:t>
            </w:r>
          </w:p>
        </w:tc>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1919</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27609</w:t>
            </w:r>
          </w:p>
        </w:tc>
        <w:tc>
          <w:tcPr>
            <w:tcW w:type="dxa" w:w="501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spacing w:after="40" w:line="247" w:lineRule="auto"/>
            </w:pPr>
            <w:r>
              <w:rPr>
                <w:b w:val="0"/>
                <w:sz w:val="18"/>
              </w:rPr>
              <w:t>Keep earliest source occurrence independently of rating</w:t>
            </w:r>
          </w:p>
        </w:tc>
      </w:tr>
    </w:tbl>
    <w:p>
      <w:pPr>
        <w:spacing w:after="0"/>
      </w:pPr>
    </w:p>
    <w:p>
      <w:r>
        <w:t>The reconciliation is 30000 minus 441 minus 31 minus 1919 equals 27609. Invalid dates retained after coercion number 0; this is a quality flag, not an additional subtraction. Duplicate and empty counts are measured after earlier filters, so exclusions do not double count rows.</w:t>
      </w:r>
    </w:p>
    <w:p>
      <w:pPr>
        <w:pStyle w:val="Heading1"/>
      </w:pPr>
      <w:r>
        <w:t>Metadata coverage and schema consistency</w:t>
      </w:r>
    </w:p>
    <w:p>
      <w:r>
        <w:t>The metadata dictionary contains repeated ASIN rows. The pipeline deterministically uses the last source occurrence for each ASIN and requires a nonempty normalized title for the retained review product. This is a coverage filter; it does not prove that every listing is a cosmetic product. The full source archives are retained privately and their checksums allow the lookup decision to be reproduced.</w:t>
      </w:r>
    </w:p>
    <w:p>
      <w:r>
        <w:t>Ratings are converted using pandas.to_numeric with coercion and then checked against the exact set 1, 2, 3, 4, 5. A value such as 7 would be invalid, but none is observed in this sample. Product keys are required rather than imputed. Source dates are interpreted as Unix seconds, confirmed from the source schema. Timestamp parsing uses UTC and preserves a missing value if parsing fails. Date is not passed into the implemented models.</w:t>
      </w:r>
    </w:p>
    <w:p>
      <w:pPr>
        <w:pStyle w:val="Heading1"/>
      </w:pPr>
      <w:r>
        <w:t>Text normalization and duplicates</w:t>
      </w:r>
    </w:p>
    <w:p>
      <w:r>
        <w:t>The function applies HTML entity decoding, Unicode NFKC normalization, tag removal and whitespace compaction. It retains punctuation and negation because these can affect meaning. Original bodies stay available only in local source processing. A case folded SHA 256 fingerprint detects exact normalized text repeats. The cleaned evidence export contains the fingerprint and row reference but no body or author identity.</w:t>
      </w:r>
    </w:p>
    <w:p>
      <w:r>
        <w:t>The duplicate policy retains the earliest source row for each normalized text hash. It does not choose a favorable label or remove all difficult contradictory examples. Nineteen repeated text groups have conflicting binary labels before deduplication. Their earliest records remain under the same label independent rule. This prevents exact repeated bodies crossing partitions, while recognizing that the removal of short common statements can alter prevalence. The audit records low rating counts before and after this step.</w:t>
      </w:r>
    </w:p>
    <w:p>
      <w:r>
        <w:t>Exact hashing cannot detect paraphrases or slightly edited review copies. An identical short sentence can also be a legitimate independent opinion. Deduplication is therefore a benchmark policy rather than a claim that every repeat is fraudulent. A later study should assess near duplicate sensitivity on development data and quantify how removal affects product representation.</w:t>
      </w:r>
    </w:p>
    <w:p>
      <w:pPr>
        <w:pStyle w:val="Heading1"/>
      </w:pPr>
      <w:r>
        <w:t>Executed preprocessing flow</w:t>
      </w:r>
    </w:p>
    <w:p>
      <w:pPr>
        <w:keepNext/>
      </w:pPr>
      <w:r>
        <w:drawing>
          <wp:inline xmlns:a="http://schemas.openxmlformats.org/drawingml/2006/main" xmlns:pic="http://schemas.openxmlformats.org/drawingml/2006/picture">
            <wp:extent cx="5669280" cy="3533030"/>
            <wp:docPr id="1" name="Picture 1"/>
            <wp:cNvGraphicFramePr>
              <a:graphicFrameLocks noChangeAspect="1"/>
            </wp:cNvGraphicFramePr>
            <a:graphic>
              <a:graphicData uri="http://schemas.openxmlformats.org/drawingml/2006/picture">
                <pic:pic>
                  <pic:nvPicPr>
                    <pic:cNvPr id="0" name="cleaning_flow.png"/>
                    <pic:cNvPicPr/>
                  </pic:nvPicPr>
                  <pic:blipFill>
                    <a:blip r:embed="rId11"/>
                    <a:stretch>
                      <a:fillRect/>
                    </a:stretch>
                  </pic:blipFill>
                  <pic:spPr>
                    <a:xfrm>
                      <a:off x="0" y="0"/>
                      <a:ext cx="5669280" cy="3533030"/>
                    </a:xfrm>
                    <a:prstGeom prst="rect"/>
                  </pic:spPr>
                </pic:pic>
              </a:graphicData>
            </a:graphic>
          </wp:inline>
        </w:drawing>
      </w:r>
    </w:p>
    <w:p>
      <w:pPr>
        <w:pStyle w:val="Caption"/>
      </w:pPr>
      <w:r>
        <w:t>Figure 1  Actual counts from the public data pipeline</w:t>
      </w:r>
    </w:p>
    <w:p>
      <w:pPr>
        <w:pStyle w:val="Heading1"/>
      </w:pPr>
      <w:r>
        <w:t>Missing values outliers and transformations</w:t>
      </w:r>
    </w:p>
    <w:p>
      <w:r>
        <w:t>Missing labels and empty bodies cannot be filled with guessed sentiment. Required fields are either valid or the row is excluded with an audit entry. Unknown metadata coverage is quarantined as a domain quality concern. Optional verified status is preserved but not imputed into a predictive signal. The cleaning rules are deterministic and do not use test performance to decide which rows survive.</w:t>
      </w:r>
    </w:p>
    <w:p>
      <w:r>
        <w:t>Review length is a genuine outlier consideration: the cleaned 99th percentile is 282 words and the maximum is 2,443. The pipeline retains long reviews because a detailed narrative is not necessarily an extraction error. The style model uses log1p word count, which compresses the scale without deleting observations. Exclamation and question mark counts are expressed per 100 characters. Uppercase share divides uppercase letters by all alphabetic characters, with a protected zero denominator.</w:t>
      </w:r>
    </w:p>
    <w:p>
      <w:r>
        <w:t>TF IDF applies sublinear term frequency and L2 normalization. Numeric style features are standardized with means and scales fitted on training folds. Product, reviewer, rating and future feedback fields are excluded from predictors. No synthetic resampling or manufactured customer record is used.</w:t>
      </w:r>
    </w:p>
    <w:p>
      <w:pPr>
        <w:pStyle w:val="Heading1"/>
      </w:pPr>
      <w:r>
        <w:t>Representative executable implementation</w:t>
      </w:r>
    </w:p>
    <w:p>
      <w:r>
        <w:rPr>
          <w:rFonts w:ascii="Consolas" w:hAnsi="Consolas"/>
          <w:sz w:val="18"/>
        </w:rPr>
        <w:t>df['text'] = df['text'].map(normalize)</w:t>
        <w:br/>
        <w:t>df = df.loc[df['text'].str.len().gt(0)].copy()</w:t>
        <w:br/>
        <w:t>df['negative'] = df['rating'].le(2).astype(int)</w:t>
        <w:br/>
        <w:t>df['text_hash'] = df['text'].str.casefold().map(sha256_text)</w:t>
        <w:br/>
        <w:t>df = df.drop_duplicates('text_hash', keep='first')</w:t>
        <w:br/>
        <w:t># Fit TF IDF and scaling only inside training pipelines</w:t>
      </w:r>
    </w:p>
    <w:p>
      <w:r>
        <w:t>The excerpt explains the policy. The runnable script contains the full normalization function, field checks, source acquisition and count reconciliation. sha256_text in this explanatory excerpt denotes the hashing operation implemented directly as a lambda in the full script; this excerpt is not an alternate complete executable.</w:t>
      </w:r>
    </w:p>
    <w:p>
      <w:pPr>
        <w:pStyle w:val="Heading1"/>
      </w:pPr>
      <w:r>
        <w:t>Partition controls and reproducibility</w:t>
      </w:r>
    </w:p>
    <w:tbl>
      <w:tblPr>
        <w:tblW w:type="auto" w:w="0"/>
        <w:tblLayout w:type="fixed"/>
        <w:tblLook w:firstColumn="1" w:firstRow="1" w:lastColumn="0" w:lastRow="0" w:noHBand="0" w:noVBand="1" w:val="04A0"/>
      </w:tblPr>
      <w:tblGrid>
        <w:gridCol w:w="2016"/>
        <w:gridCol w:w="1584"/>
        <w:gridCol w:w="1584"/>
        <w:gridCol w:w="2304"/>
        <w:gridCol w:w="2563"/>
      </w:tblGrid>
      <w:tr>
        <w:trPr>
          <w:tblHeade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Partition</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Reviews</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Products</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Low rating reviews</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Low rating share</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Train</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16691</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5019</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2849</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17.07%</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Validation</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5515</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1673</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990</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17.95%</w:t>
            </w:r>
          </w:p>
        </w:tc>
      </w:tr>
      <w:tr>
        <w:trPr>
          <w:cantSplit/>
        </w:trPr>
        <w:tc>
          <w:tcPr>
            <w:tcW w:type="dxa" w:w="20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Test</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5403</w:t>
            </w:r>
          </w:p>
        </w:tc>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1673</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873</w:t>
            </w:r>
          </w:p>
        </w:tc>
        <w:tc>
          <w:tcPr>
            <w:tcW w:type="dxa" w:w="256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16.16%</w:t>
            </w:r>
          </w:p>
        </w:tc>
      </w:tr>
    </w:tbl>
    <w:p>
      <w:pPr>
        <w:spacing w:after="0"/>
      </w:pPr>
    </w:p>
    <w:p>
      <w:r>
        <w:t>The program asserts zero shared products and zero identical text hashes between every partition pair. It checks that both target classes exist in every partition. There are 50 shared original author identifiers between training and test, counted privately; this means the design tests new products but does not claim new author independence. Near duplicate text and chronological generalization remain untested.</w:t>
      </w:r>
    </w:p>
    <w:p>
      <w:pPr>
        <w:pStyle w:val="Heading1"/>
      </w:pPr>
      <w:r>
        <w:t>Verification and analytical benefit</w:t>
      </w:r>
    </w:p>
    <w:p>
      <w:r>
        <w:t>The independent validation script checks row reconciliation, valid rating labels, exact text uniqueness, product separation, test membership, model selection and metric recomputation. Its PASS record is exported as verification.json. This evidence is stronger than merely describing how data might be cleaned: an evaluator can inspect counts, run the code and verify that saved predictions produce the reported confusion matrix.</w:t>
      </w:r>
    </w:p>
    <w:p>
      <w:r>
        <w:t>The resulting data improves consistency for downstream analysis without making it representative of every beauty buyer. The review sample still reflects platform participation, older products and publication selection. The next stage therefore reports measured distributions with clear denominators and treats language patterns as associations.</w:t>
      </w:r>
    </w:p>
    <w:p>
      <w:pPr>
        <w:pStyle w:val="Heading1"/>
      </w:pPr>
      <w:r>
        <w:t>Executable evidence and file links</w:t>
      </w:r>
    </w:p>
    <w:p>
      <w:hyperlink r:id="rId12">
        <w:r>
          <w:rPr>
            <w:color w:val="235C80"/>
          </w:rPr>
          <w:t>outputs/cleaning_audit.json</w:t>
        </w:r>
      </w:hyperlink>
    </w:p>
    <w:p>
      <w:hyperlink r:id="rId13">
        <w:r>
          <w:rPr>
            <w:color w:val="235C80"/>
          </w:rPr>
          <w:t>data/clean_features.csv.gz</w:t>
        </w:r>
      </w:hyperlink>
    </w:p>
    <w:p>
      <w:hyperlink r:id="rId14">
        <w:r>
          <w:rPr>
            <w:color w:val="235C80"/>
          </w:rPr>
          <w:t>outputs/partition_manifest.csv.gz</w:t>
        </w:r>
      </w:hyperlink>
    </w:p>
    <w:p>
      <w:hyperlink r:id="rId15">
        <w:r>
          <w:rPr>
            <w:color w:val="235C80"/>
          </w:rPr>
          <w:t>outputs/verification.json</w:t>
        </w:r>
      </w:hyperlink>
    </w:p>
    <w:p>
      <w:hyperlink r:id="rId16">
        <w:r>
          <w:rPr>
            <w:color w:val="235C80"/>
          </w:rPr>
          <w:t>src/run_project.py</w:t>
        </w:r>
      </w:hyperlink>
    </w:p>
    <w:p>
      <w:hyperlink r:id="rId17">
        <w:r>
          <w:rPr>
            <w:color w:val="235C80"/>
          </w:rPr>
          <w:t>src/validate_project.py</w:t>
        </w:r>
      </w:hyperlink>
    </w:p>
    <w:p>
      <w:r>
        <w:t>The links identify the exact code or output used in this report. Numeric CSV and JSON files can be inspected without running the project. To recover review text privately, download the documented source and use its one based source_row identifiers; raw review bodies and reviewer identities are not republished.</w:t>
      </w:r>
    </w:p>
    <w:p>
      <w:pPr>
        <w:pStyle w:val="Heading1"/>
      </w:pPr>
      <w:r>
        <w:t>References and source attribution</w:t>
      </w:r>
    </w:p>
    <w:p>
      <w:r>
        <w:t>[R1] Ni Li and McAuley. Amazon Review Data 2018 source documentation. Accessed 30 October 2026.</w:t>
      </w:r>
    </w:p>
    <w:p>
      <w:hyperlink r:id="rId18">
        <w:r>
          <w:rPr>
            <w:color w:val="235C80"/>
          </w:rPr>
          <w:t>https://nijianmo.github.io/amazon/index.html</w:t>
        </w:r>
      </w:hyperlink>
    </w:p>
    <w:p>
      <w:r>
        <w:t>[R3] scikit learn. Common pitfalls and recommended practices. Accessed 30 October 2026.</w:t>
      </w:r>
    </w:p>
    <w:p>
      <w:hyperlink r:id="rId19">
        <w:r>
          <w:rPr>
            <w:color w:val="235C80"/>
          </w:rPr>
          <w:t>https://scikit-learn.org/stable/common_pitfalls.html</w:t>
        </w:r>
      </w:hyperlink>
    </w:p>
    <w:p>
      <w:r>
        <w:t>[R4] scikit learn. Cross validation evaluating estimator performance. Accessed 30 October 2026.</w:t>
      </w:r>
    </w:p>
    <w:p>
      <w:hyperlink r:id="rId20">
        <w:r>
          <w:rPr>
            <w:color w:val="235C80"/>
          </w:rPr>
          <w:t>https://scikit-learn.org/stable/modules/cross_validation.html</w:t>
        </w:r>
      </w:hyperlink>
    </w:p>
    <w:sectPr w:rsidR="00FC693F" w:rsidRPr="0006063C" w:rsidSect="00034616">
      <w:headerReference w:type="default" r:id="rId9"/>
      <w:footerReference w:type="default" r:id="rId10"/>
      <w:pgSz w:w="12240" w:h="15840"/>
      <w:pgMar w:top="936" w:right="1094" w:bottom="936"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Yuvaintern   |   Real public data revision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 Nithish Kumar   |   Beauty Review Intelligence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nithishchowdary29/beauty-review-intelligence/blob/main/outputs/cleaning_audit.json" TargetMode="External"/><Relationship Id="rId13" Type="http://schemas.openxmlformats.org/officeDocument/2006/relationships/hyperlink" Target="https://github.com/nithishchowdary29/beauty-review-intelligence/blob/main/data/clean_features.csv.gz" TargetMode="External"/><Relationship Id="rId14" Type="http://schemas.openxmlformats.org/officeDocument/2006/relationships/hyperlink" Target="https://github.com/nithishchowdary29/beauty-review-intelligence/blob/main/outputs/partition_manifest.csv.gz" TargetMode="External"/><Relationship Id="rId15" Type="http://schemas.openxmlformats.org/officeDocument/2006/relationships/hyperlink" Target="https://github.com/nithishchowdary29/beauty-review-intelligence/blob/main/outputs/verification.json" TargetMode="External"/><Relationship Id="rId16" Type="http://schemas.openxmlformats.org/officeDocument/2006/relationships/hyperlink" Target="https://github.com/nithishchowdary29/beauty-review-intelligence/blob/main/src/run_project.py" TargetMode="External"/><Relationship Id="rId17" Type="http://schemas.openxmlformats.org/officeDocument/2006/relationships/hyperlink" Target="https://github.com/nithishchowdary29/beauty-review-intelligence/blob/main/src/validate_project.py" TargetMode="External"/><Relationship Id="rId18" Type="http://schemas.openxmlformats.org/officeDocument/2006/relationships/hyperlink" Target="https://nijianmo.github.io/amazon/index.html" TargetMode="External"/><Relationship Id="rId19" Type="http://schemas.openxmlformats.org/officeDocument/2006/relationships/hyperlink" Target="https://scikit-learn.org/stable/common_pitfalls.html" TargetMode="External"/><Relationship Id="rId20" Type="http://schemas.openxmlformats.org/officeDocument/2006/relationships/hyperlink" Target="https://scikit-learn.org/stable/modules/cross_valid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