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Executed Predictive Modeling and Algorithm Comparison</w:t>
      </w:r>
    </w:p>
    <w:p>
      <w:pPr>
        <w:pStyle w:val="Subtitle"/>
      </w:pPr>
      <w:r>
        <w:t>Week 5 report   |   Data Science with Python</w:t>
      </w:r>
    </w:p>
    <w:p>
      <w:r>
        <w:t>Prepared by M Nithish Kumar</w:t>
        <w:br/>
        <w:t>Revised 30 October 2026</w:t>
      </w:r>
    </w:p>
    <w:p>
      <w:r>
        <w:t>This Week 5 revision replaces the earlier planning and synthetic demonstration with an executed study of real public Amazon beauty product reviews. The Week 1 problem remains classification of low rating feedback from review text: ratings 1 and 2 are positive, and ratings 3 through 5 are the other class. The original Week 1 submission is retained as historical project definition. No customer contact, live deployment or financial benefit is claimed.</w:t>
      </w:r>
    </w:p>
    <w:p>
      <w:pPr>
        <w:pStyle w:val="Heading1"/>
      </w:pPr>
      <w:r>
        <w:t>Modeling decision and target</w:t>
      </w:r>
    </w:p>
    <w:p>
      <w:r>
        <w:t>The selected model is Logistic text, trained to predict ratings 1 or 2 from the review body. Selection uses validation average precision after training only grouped cross validation chooses hyperparameters. The score threshold is 0.575, chosen by validation F1. Actual metrics and all candidate settings are exported. No synthetic results are mixed into this comparison.</w:t>
      </w:r>
    </w:p>
    <w:p>
      <w:r>
        <w:t>The study is review text classification after a message arrives. It does not forecast a future stock price, sale, medical event or customer purchase. Ratings are noisy proxy labels, and an unrated channel would need independent validation. A review’s actual rating, product identifier, author identifier and timestamp are never model features.</w:t>
      </w:r>
    </w:p>
    <w:p>
      <w:pPr>
        <w:pStyle w:val="Heading1"/>
      </w:pPr>
      <w:r>
        <w:t>Candidate algorithms and justification</w:t>
      </w:r>
    </w:p>
    <w:tbl>
      <w:tblPr>
        <w:tblW w:type="auto" w:w="0"/>
        <w:tblLayout w:type="fixed"/>
        <w:tblLook w:firstColumn="1" w:firstRow="1" w:lastColumn="0" w:lastRow="0" w:noHBand="0" w:noVBand="1" w:val="04A0"/>
      </w:tblPr>
      <w:tblGrid>
        <w:gridCol w:w="2448"/>
        <w:gridCol w:w="3600"/>
        <w:gridCol w:w="4003"/>
      </w:tblGrid>
      <w:tr>
        <w:trPr>
          <w:tblHeader/>
          <w:cantSplit/>
        </w:trPr>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Candidate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Strengths</w:t>
            </w:r>
          </w:p>
        </w:tc>
        <w:tc>
          <w:tcPr>
            <w:tcW w:type="dxa" w:w="400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Limits and configuration</w:t>
            </w:r>
          </w:p>
        </w:tc>
      </w:tr>
      <w:tr>
        <w:trPr>
          <w:cantSplit/>
        </w:trPr>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Regularized sparse linear text classifier; interpretable coefficient associations</w:t>
            </w:r>
          </w:p>
        </w:tc>
        <w:tc>
          <w:tcPr>
            <w:tcW w:type="dxa" w:w="400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Class balanced; liblinear solver; C grid 0.5 1 2; max_iter 1000</w:t>
            </w:r>
          </w:p>
        </w:tc>
      </w:tr>
      <w:tr>
        <w:trPr>
          <w:cantSplit/>
        </w:trPr>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Multinomial naive Bayes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Fast nonnegative sparse text baseline; transparent smoothing</w:t>
            </w:r>
          </w:p>
        </w:tc>
        <w:tc>
          <w:tcPr>
            <w:tcW w:type="dxa" w:w="400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Conditional independence approximation; alpha grid 0.5 1; probability calibration not assumed</w:t>
            </w:r>
          </w:p>
        </w:tc>
      </w:tr>
      <w:tr>
        <w:trPr>
          <w:cantSplit/>
        </w:trPr>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 plus style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Tests incremental word count punctuation and uppercase information</w:t>
            </w:r>
          </w:p>
        </w:tc>
        <w:tc>
          <w:tcPr>
            <w:tcW w:type="dxa" w:w="400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Same C grid as text baseline; numeric StandardScaler training fitted</w:t>
            </w:r>
          </w:p>
        </w:tc>
      </w:tr>
      <w:tr>
        <w:trPr>
          <w:cantSplit/>
        </w:trPr>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Majority and all flagged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Operationally interpretable reference predictions</w:t>
            </w:r>
          </w:p>
        </w:tc>
        <w:tc>
          <w:tcPr>
            <w:tcW w:type="dxa" w:w="400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Majority finds no low rating reviews; all flagged has full recall but no filtering value</w:t>
            </w:r>
          </w:p>
        </w:tc>
      </w:tr>
    </w:tbl>
    <w:p>
      <w:pPr>
        <w:spacing w:after="0"/>
      </w:pPr>
    </w:p>
    <w:p>
      <w:r>
        <w:t>Linear regression is not the natural choice for this binary decision. Clustering could support unsupervised theme discovery but would not directly supply a supervised label. A deep neural system is unnecessary for this resource constrained baseline comparison. The project instead spends effort on leakage control, reproducible partitions and independently checkable metrics.</w:t>
      </w:r>
    </w:p>
    <w:p>
      <w:pPr>
        <w:pStyle w:val="Heading1"/>
      </w:pPr>
      <w:r>
        <w:t>Data partitions and validation boundary</w:t>
      </w:r>
    </w:p>
    <w:tbl>
      <w:tblPr>
        <w:tblW w:type="auto" w:w="0"/>
        <w:tblLayout w:type="fixed"/>
        <w:tblLook w:firstColumn="1" w:firstRow="1" w:lastColumn="0" w:lastRow="0" w:noHBand="0" w:noVBand="1" w:val="04A0"/>
      </w:tblPr>
      <w:tblGrid>
        <w:gridCol w:w="2016"/>
        <w:gridCol w:w="1584"/>
        <w:gridCol w:w="1584"/>
        <w:gridCol w:w="2304"/>
        <w:gridCol w:w="2563"/>
      </w:tblGrid>
      <w:tr>
        <w:trPr>
          <w:tblHeade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Partition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Reviews</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Products</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Low rating reviews</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Low rating share</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Train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16691</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5019</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2849</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17.07%</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Validation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5515</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1673</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990</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17.95%</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Test</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5403</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1673</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873</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16.16%</w:t>
            </w:r>
          </w:p>
        </w:tc>
      </w:tr>
    </w:tbl>
    <w:p>
      <w:pPr>
        <w:spacing w:after="0"/>
      </w:pPr>
    </w:p>
    <w:p>
      <w:r>
        <w:t>Product groups are split with seeds 42 and 43 into approximately 60, 20 and 20 percent of distinct ASINs. Review counts differ from these percentages because products have unequal review counts. Exact normalized text is deduplicated before partitioning. Assertions confirm disjoint products and hashes. The design has 50 shared authors between training and test, so it is not a test of entirely new reviewers. It is also not chronological forecasting.</w:t>
      </w:r>
    </w:p>
    <w:p>
      <w:pPr>
        <w:pStyle w:val="Heading1"/>
      </w:pPr>
      <w:r>
        <w:t>Cross validation protocol</w:t>
      </w:r>
    </w:p>
    <w:p>
      <w:r>
        <w:t>The training partition is divided into three StratifiedGroupKFold folds, shuffled with seed 44. Product groups remain intact inside each fold. The stratified objective helps stabilize label ratios but cannot guarantee identical ratios when products vary. For every candidate setting, the vectorizer and optional scaler are fitted anew on each training fold. Average precision is computed on the held out fold [R4].</w:t>
      </w:r>
    </w:p>
    <w:p>
      <w:r>
        <w:t>The search contains eight candidate settings: three C values for each logistic representation and two alpha values for naive Bayes. The highest mean training CV AP selects the parameter within each model family. Standard deviations below summarize variability across three observed folds and are not formal population confidence intervals. This compact search is suitable for the sample size and is fully recorded in cross_validation.csv.</w:t>
      </w:r>
    </w:p>
    <w:tbl>
      <w:tblPr>
        <w:tblW w:type="auto" w:w="0"/>
        <w:tblLayout w:type="fixed"/>
        <w:tblLook w:firstColumn="1" w:firstRow="1" w:lastColumn="0" w:lastRow="0" w:noHBand="0" w:noVBand="1" w:val="04A0"/>
      </w:tblPr>
      <w:tblGrid>
        <w:gridCol w:w="4176"/>
        <w:gridCol w:w="1584"/>
        <w:gridCol w:w="2160"/>
        <w:gridCol w:w="2131"/>
      </w:tblGrid>
      <w:tr>
        <w:trPr>
          <w:tblHeade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Model</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Parameter</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Mean CV AP</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Fold SD</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0.5</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0.7619</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0.0152</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Logistic text</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1.0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0.7733</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0.0157</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0.7806</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0.0160</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Naive Bayes</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0.5</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0.7461</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0.0284</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Naive Bayes</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0.6769</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0.0311</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Logistic text plus style</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0.5</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0.7548</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0.0109</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 plus style</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0.7689</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0.0121</w:t>
            </w:r>
          </w:p>
        </w:tc>
      </w:tr>
      <w:tr>
        <w:trPr>
          <w:cantSplit/>
        </w:trPr>
        <w:tc>
          <w:tcPr>
            <w:tcW w:type="dxa" w:w="41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Logistic text plus style</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2.0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0.7776</w:t>
            </w:r>
          </w:p>
        </w:tc>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0.0129</w:t>
            </w:r>
          </w:p>
        </w:tc>
      </w:tr>
    </w:tbl>
    <w:p>
      <w:pPr>
        <w:spacing w:after="0"/>
      </w:pPr>
    </w:p>
    <w:p>
      <w:pPr>
        <w:pStyle w:val="Heading1"/>
      </w:pPr>
      <w:r>
        <w:t>Validation model and threshold selection</w:t>
      </w:r>
    </w:p>
    <w:tbl>
      <w:tblPr>
        <w:tblW w:type="auto" w:w="0"/>
        <w:tblLayout w:type="fixed"/>
        <w:tblLook w:firstColumn="1" w:firstRow="1" w:lastColumn="0" w:lastRow="0" w:noHBand="0" w:noVBand="1" w:val="04A0"/>
      </w:tblPr>
      <w:tblGrid>
        <w:gridCol w:w="3744"/>
        <w:gridCol w:w="2304"/>
        <w:gridCol w:w="1728"/>
        <w:gridCol w:w="2275"/>
      </w:tblGrid>
      <w:tr>
        <w:trPr>
          <w:tblHeader/>
          <w:cantSplit/>
        </w:trPr>
        <w:tc>
          <w:tcPr>
            <w:tcW w:type="dxa" w:w="37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Model</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Validation AP</w:t>
            </w:r>
          </w:p>
        </w:tc>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Threshold</w:t>
            </w:r>
          </w:p>
        </w:tc>
        <w:tc>
          <w:tcPr>
            <w:tcW w:type="dxa" w:w="227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Validation F1</w:t>
            </w:r>
          </w:p>
        </w:tc>
      </w:tr>
      <w:tr>
        <w:trPr>
          <w:cantSplit/>
        </w:trPr>
        <w:tc>
          <w:tcPr>
            <w:tcW w:type="dxa" w:w="37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0.8302</w:t>
            </w:r>
          </w:p>
        </w:tc>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0.575</w:t>
            </w:r>
          </w:p>
        </w:tc>
        <w:tc>
          <w:tcPr>
            <w:tcW w:type="dxa" w:w="227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0.7589</w:t>
            </w:r>
          </w:p>
        </w:tc>
      </w:tr>
      <w:tr>
        <w:trPr>
          <w:cantSplit/>
        </w:trPr>
        <w:tc>
          <w:tcPr>
            <w:tcW w:type="dxa" w:w="37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Naive Bayes</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0.8119</w:t>
            </w:r>
          </w:p>
        </w:tc>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0.150</w:t>
            </w:r>
          </w:p>
        </w:tc>
        <w:tc>
          <w:tcPr>
            <w:tcW w:type="dxa" w:w="227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0.7312</w:t>
            </w:r>
          </w:p>
        </w:tc>
      </w:tr>
      <w:tr>
        <w:trPr>
          <w:cantSplit/>
        </w:trPr>
        <w:tc>
          <w:tcPr>
            <w:tcW w:type="dxa" w:w="37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Logistic text plus style</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0.8292</w:t>
            </w:r>
          </w:p>
        </w:tc>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0.525</w:t>
            </w:r>
          </w:p>
        </w:tc>
        <w:tc>
          <w:tcPr>
            <w:tcW w:type="dxa" w:w="227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0.7577</w:t>
            </w:r>
          </w:p>
        </w:tc>
      </w:tr>
    </w:tbl>
    <w:p>
      <w:pPr>
        <w:spacing w:after="0"/>
      </w:pPr>
    </w:p>
    <w:p>
      <w:r>
        <w:t>Each winning candidate is refitted on the training partition only and scored on validation. Model family is selected using validation AP. Within each family, thresholds from 0.05 to 0.95 in steps of 0.025 are compared using validation F1. Ties use the first threshold in the grid. The chosen model and threshold remain frozen for the test evaluation. There is no refit on train plus validation, no test guided tuning and no trial of multiple random seeds to seek a favorable holdout.</w:t>
      </w:r>
    </w:p>
    <w:p>
      <w:pPr>
        <w:keepNext/>
      </w:pPr>
      <w:r>
        <w:drawing>
          <wp:inline xmlns:a="http://schemas.openxmlformats.org/drawingml/2006/main" xmlns:pic="http://schemas.openxmlformats.org/drawingml/2006/picture">
            <wp:extent cx="5897880" cy="2972438"/>
            <wp:docPr id="1" name="Picture 1"/>
            <wp:cNvGraphicFramePr>
              <a:graphicFrameLocks noChangeAspect="1"/>
            </wp:cNvGraphicFramePr>
            <a:graphic>
              <a:graphicData uri="http://schemas.openxmlformats.org/drawingml/2006/picture">
                <pic:pic>
                  <pic:nvPicPr>
                    <pic:cNvPr id="0" name="thresholds.png"/>
                    <pic:cNvPicPr/>
                  </pic:nvPicPr>
                  <pic:blipFill>
                    <a:blip r:embed="rId11"/>
                    <a:stretch>
                      <a:fillRect/>
                    </a:stretch>
                  </pic:blipFill>
                  <pic:spPr>
                    <a:xfrm>
                      <a:off x="0" y="0"/>
                      <a:ext cx="5897880" cy="2972438"/>
                    </a:xfrm>
                    <a:prstGeom prst="rect"/>
                  </pic:spPr>
                </pic:pic>
              </a:graphicData>
            </a:graphic>
          </wp:inline>
        </w:drawing>
      </w:r>
    </w:p>
    <w:p>
      <w:pPr>
        <w:pStyle w:val="Caption"/>
      </w:pPr>
      <w:r>
        <w:t>Figure 1  Actual validation threshold tradeoff for the selected model</w:t>
      </w:r>
    </w:p>
    <w:p>
      <w:pPr>
        <w:pStyle w:val="Heading1"/>
      </w:pPr>
      <w:r>
        <w:t>Metrics and measured test results</w:t>
      </w:r>
    </w:p>
    <w:tbl>
      <w:tblPr>
        <w:tblW w:type="auto" w:w="0"/>
        <w:tblLayout w:type="fixed"/>
        <w:tblLook w:firstColumn="1" w:firstRow="1" w:lastColumn="0" w:lastRow="0" w:noHBand="0" w:noVBand="1" w:val="04A0"/>
      </w:tblPr>
      <w:tblGrid>
        <w:gridCol w:w="3571"/>
        <w:gridCol w:w="1296"/>
        <w:gridCol w:w="1296"/>
        <w:gridCol w:w="1296"/>
        <w:gridCol w:w="1296"/>
        <w:gridCol w:w="1296"/>
      </w:tblGrid>
      <w:tr>
        <w:trPr>
          <w:tblHeade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Model</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Precision</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Recall</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F1</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AP</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ROC AUC</w:t>
            </w:r>
          </w:p>
        </w:tc>
      </w:tr>
      <w:tr>
        <w:trP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0.704</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0.764</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0.733</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0.787</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0.946</w:t>
            </w:r>
          </w:p>
        </w:tc>
      </w:tr>
      <w:tr>
        <w:trP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Naive Bayes</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0.665</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0.758</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0.708</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0.768</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0.936</w:t>
            </w:r>
          </w:p>
        </w:tc>
      </w:tr>
      <w:tr>
        <w:trP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Logistic text plus style</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0.666</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0.805</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0.729</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0.782</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0.945</w:t>
            </w:r>
          </w:p>
        </w:tc>
      </w:tr>
      <w:tr>
        <w:trP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Majority baseline</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0.000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0.000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0.000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0.162</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0.500</w:t>
            </w:r>
          </w:p>
        </w:tc>
      </w:tr>
      <w:tr>
        <w:trPr>
          <w:cantSplit/>
        </w:trPr>
        <w:tc>
          <w:tcPr>
            <w:tcW w:type="dxa" w:w="357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All flagged baseline</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0.162</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1.000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0.278</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0.162</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0.500</w:t>
            </w:r>
          </w:p>
        </w:tc>
      </w:tr>
    </w:tbl>
    <w:p>
      <w:pPr>
        <w:spacing w:after="0"/>
      </w:pPr>
    </w:p>
    <w:p>
      <w:r>
        <w:t>Precision measures the fraction of flagged reviews that have the low rating label. Recall measures the fraction of low rating reviews found. F1 summarizes the precision recall balance at a fixed threshold. Average precision evaluates ranking and is not identical to trapezoidal PR AUC. ROC AUC measures ranking of positive versus other pairs. Accuracy alone is insufficient for an imbalanced label [R5].</w:t>
      </w:r>
    </w:p>
    <w:p>
      <w:r>
        <w:t>The text plus style ablation is reported even if it has a favorable secondary metric, because the primary model decision was made on validation AP. Model differences on the test set are descriptive; no paired significance claim is made. The all flagged and majority baselines make the cost of prioritization visible rather than inflating the comparison with accuracy alone.</w:t>
      </w:r>
    </w:p>
    <w:p>
      <w:pPr>
        <w:pStyle w:val="Heading1"/>
      </w:pPr>
      <w:r>
        <w:t>Overfitting probability scores and robustness</w:t>
      </w:r>
    </w:p>
    <w:p>
      <w:r>
        <w:t>Regularization, a vocabulary cap and grouped evaluation reduce some overfitting risks. They cannot remove source bias or near duplicate language. Underfitting can occur for sarcasm, mixed sentiment, spelling variation and long context. The TF IDF representation includes bigrams and preserves negation, but default tokenization may split apostrophes, which appears in coefficient terms such as didn.</w:t>
      </w:r>
    </w:p>
    <w:p>
      <w:r>
        <w:t>The class balanced logistic model changes the effective training class weights. Its output score is useful for ranking but should not automatically be interpreted as a calibrated probability of dissatisfaction. Brier scores are exported as diagnostics; no calibration model was fitted. A real operating threshold needs business costs and channel specific validation. Product clustered bootstrap intervals in Week 6 condition on the frozen fitted model and do not cover training or selection uncertainty.</w:t>
      </w:r>
    </w:p>
    <w:p>
      <w:r>
        <w:t>Future robustness tests include a later period holdout, author disjoint evaluation, near duplicate detection and independently labeled unrated messages. No deployment, automated refund or customer safety decision is supported by the current experiment. The selected classifier is an inspectable research baseline with real executed evidence.</w:t>
      </w:r>
    </w:p>
    <w:p>
      <w:pPr>
        <w:pStyle w:val="Heading1"/>
      </w:pPr>
      <w:r>
        <w:t>Executable evidence and file links</w:t>
      </w:r>
    </w:p>
    <w:p>
      <w:hyperlink r:id="rId12">
        <w:r>
          <w:rPr>
            <w:color w:val="235C80"/>
          </w:rPr>
          <w:t>outputs/cross_validation.csv</w:t>
        </w:r>
      </w:hyperlink>
    </w:p>
    <w:p>
      <w:hyperlink r:id="rId13">
        <w:r>
          <w:rPr>
            <w:color w:val="235C80"/>
          </w:rPr>
          <w:t>outputs/validation_metrics.csv</w:t>
        </w:r>
      </w:hyperlink>
    </w:p>
    <w:p>
      <w:hyperlink r:id="rId14">
        <w:r>
          <w:rPr>
            <w:color w:val="235C80"/>
          </w:rPr>
          <w:t>outputs/validation_thresholds.csv</w:t>
        </w:r>
      </w:hyperlink>
    </w:p>
    <w:p>
      <w:hyperlink r:id="rId15">
        <w:r>
          <w:rPr>
            <w:color w:val="235C80"/>
          </w:rPr>
          <w:t>outputs/model_metrics.csv</w:t>
        </w:r>
      </w:hyperlink>
    </w:p>
    <w:p>
      <w:hyperlink r:id="rId16">
        <w:r>
          <w:rPr>
            <w:color w:val="235C80"/>
          </w:rPr>
          <w:t>outputs/test_predictions.csv.gz</w:t>
        </w:r>
      </w:hyperlink>
    </w:p>
    <w:p>
      <w:hyperlink r:id="rId17">
        <w:r>
          <w:rPr>
            <w:color w:val="235C80"/>
          </w:rPr>
          <w:t>src/run_project.py</w:t>
        </w:r>
      </w:hyperlink>
    </w:p>
    <w:p>
      <w:r>
        <w:t>The links identify the exact code or output used in this report. Numeric CSV and JSON files can be inspected without running the project. To recover review text privately, download the documented source and use its one based source_row identifiers; raw review bodies and reviewer identities are not republished.</w:t>
      </w:r>
    </w:p>
    <w:p>
      <w:pPr>
        <w:pStyle w:val="Heading1"/>
      </w:pPr>
      <w:r>
        <w:t>References and source attribution</w:t>
      </w:r>
    </w:p>
    <w:p>
      <w:r>
        <w:t>[R3] scikit learn. Common pitfalls and recommended practices. Accessed 30 October 2026.</w:t>
      </w:r>
    </w:p>
    <w:p>
      <w:hyperlink r:id="rId18">
        <w:r>
          <w:rPr>
            <w:color w:val="235C80"/>
          </w:rPr>
          <w:t>https://scikit-learn.org/stable/common_pitfalls.html</w:t>
        </w:r>
      </w:hyperlink>
    </w:p>
    <w:p>
      <w:r>
        <w:t>[R4] scikit learn. Cross validation evaluating estimator performance. Accessed 30 October 2026.</w:t>
      </w:r>
    </w:p>
    <w:p>
      <w:hyperlink r:id="rId19">
        <w:r>
          <w:rPr>
            <w:color w:val="235C80"/>
          </w:rPr>
          <w:t>https://scikit-learn.org/stable/modules/cross_validation.html</w:t>
        </w:r>
      </w:hyperlink>
    </w:p>
    <w:p>
      <w:r>
        <w:t>[R5] scikit learn. Metrics and scoring quantifying the quality of predictions. Accessed 30 October 2026.</w:t>
      </w:r>
    </w:p>
    <w:p>
      <w:hyperlink r:id="rId20">
        <w:r>
          <w:rPr>
            <w:color w:val="235C80"/>
          </w:rPr>
          <w:t>https://scikit-learn.org/stable/modules/model_evaluation.html</w:t>
        </w:r>
      </w:hyperlink>
    </w:p>
    <w:sectPr w:rsidR="00FC693F" w:rsidRPr="0006063C" w:rsidSect="00034616">
      <w:headerReference w:type="default" r:id="rId9"/>
      <w:footerReference w:type="default" r:id="rId10"/>
      <w:pgSz w:w="12240" w:h="15840"/>
      <w:pgMar w:top="936"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Real public data revision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 Nithish Kumar   |   Beauty Review Intelligence   |   Week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nithishchowdary29/beauty-review-intelligence/blob/main/outputs/cross_validation.csv" TargetMode="External"/><Relationship Id="rId13" Type="http://schemas.openxmlformats.org/officeDocument/2006/relationships/hyperlink" Target="https://github.com/nithishchowdary29/beauty-review-intelligence/blob/main/outputs/validation_metrics.csv" TargetMode="External"/><Relationship Id="rId14" Type="http://schemas.openxmlformats.org/officeDocument/2006/relationships/hyperlink" Target="https://github.com/nithishchowdary29/beauty-review-intelligence/blob/main/outputs/validation_thresholds.csv" TargetMode="External"/><Relationship Id="rId15" Type="http://schemas.openxmlformats.org/officeDocument/2006/relationships/hyperlink" Target="https://github.com/nithishchowdary29/beauty-review-intelligence/blob/main/outputs/model_metrics.csv" TargetMode="External"/><Relationship Id="rId16" Type="http://schemas.openxmlformats.org/officeDocument/2006/relationships/hyperlink" Target="https://github.com/nithishchowdary29/beauty-review-intelligence/blob/main/outputs/test_predictions.csv.gz" TargetMode="External"/><Relationship Id="rId17" Type="http://schemas.openxmlformats.org/officeDocument/2006/relationships/hyperlink" Target="https://github.com/nithishchowdary29/beauty-review-intelligence/blob/main/src/run_project.py" TargetMode="External"/><Relationship Id="rId18" Type="http://schemas.openxmlformats.org/officeDocument/2006/relationships/hyperlink" Target="https://scikit-learn.org/stable/common_pitfalls.html" TargetMode="External"/><Relationship Id="rId19" Type="http://schemas.openxmlformats.org/officeDocument/2006/relationships/hyperlink" Target="https://scikit-learn.org/stable/modules/cross_validation.html" TargetMode="External"/><Relationship Id="rId20"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