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852C" w14:textId="77777777" w:rsidR="00DE694A" w:rsidRDefault="00DE694A"/>
    <w:p w14:paraId="37918CE0" w14:textId="77777777" w:rsidR="00DE694A" w:rsidRDefault="00DE694A"/>
    <w:p w14:paraId="65D64770" w14:textId="77777777" w:rsidR="00DE694A" w:rsidRDefault="00DE694A"/>
    <w:p w14:paraId="687F9144" w14:textId="77777777" w:rsidR="00DE694A" w:rsidRDefault="00000000">
      <w:pPr>
        <w:jc w:val="center"/>
      </w:pPr>
      <w:r>
        <w:rPr>
          <w:b/>
          <w:color w:val="1F497D"/>
          <w:sz w:val="40"/>
        </w:rPr>
        <w:t>E-Commerce US Dataset Analysis</w:t>
      </w:r>
    </w:p>
    <w:p w14:paraId="00F4C808" w14:textId="77777777" w:rsidR="00DE694A" w:rsidRDefault="00DE694A"/>
    <w:p w14:paraId="49AA84B7" w14:textId="77777777" w:rsidR="00DE694A" w:rsidRDefault="00000000">
      <w:pPr>
        <w:jc w:val="center"/>
      </w:pPr>
      <w:r>
        <w:rPr>
          <w:b/>
          <w:color w:val="262626"/>
          <w:sz w:val="30"/>
        </w:rPr>
        <w:t>Report 5: Exploratory Data Analysis (EDA)</w:t>
      </w:r>
    </w:p>
    <w:p w14:paraId="2DB247F6" w14:textId="77777777" w:rsidR="00DE694A" w:rsidRDefault="00DE694A"/>
    <w:p w14:paraId="2B7F6164" w14:textId="77777777" w:rsidR="00DE694A" w:rsidRDefault="00DE694A"/>
    <w:p w14:paraId="50C7F592" w14:textId="77777777" w:rsidR="00DE694A" w:rsidRDefault="00000000">
      <w:pPr>
        <w:jc w:val="center"/>
      </w:pPr>
      <w:r>
        <w:rPr>
          <w:color w:val="44474A"/>
          <w:sz w:val="24"/>
        </w:rPr>
        <w:t>Nithish  |  AI/ML Engineer</w:t>
      </w:r>
    </w:p>
    <w:p w14:paraId="2224BD61" w14:textId="77777777" w:rsidR="00DE694A" w:rsidRDefault="00000000">
      <w:r>
        <w:br w:type="page"/>
      </w:r>
    </w:p>
    <w:p w14:paraId="7681F5D2" w14:textId="77777777" w:rsidR="00DE694A" w:rsidRDefault="00000000">
      <w:pPr>
        <w:spacing w:before="200" w:after="60"/>
      </w:pPr>
      <w:r>
        <w:rPr>
          <w:b/>
          <w:color w:val="1F497D"/>
          <w:sz w:val="26"/>
        </w:rPr>
        <w:lastRenderedPageBreak/>
        <w:t>1. Analysis Scope</w:t>
      </w:r>
    </w:p>
    <w:p w14:paraId="72C07358" w14:textId="77777777" w:rsidR="00DE694A" w:rsidRDefault="00000000">
      <w:pPr>
        <w:pStyle w:val="ListBullet"/>
        <w:spacing w:after="20"/>
      </w:pPr>
      <w:r>
        <w:t>Source: master_clean.csv (10,000 orders × 39 columns) and items_clean.csv (21,800 rows).</w:t>
      </w:r>
    </w:p>
    <w:p w14:paraId="5C15F320" w14:textId="77777777" w:rsidR="00DE694A" w:rsidRDefault="00000000">
      <w:pPr>
        <w:pStyle w:val="ListBullet"/>
        <w:spacing w:after="20"/>
      </w:pPr>
      <w:r>
        <w:t>15 visualizations produced and saved under reports/EDA visuals/.</w:t>
      </w:r>
    </w:p>
    <w:p w14:paraId="511CEBB7" w14:textId="77777777" w:rsidR="00DE694A" w:rsidRDefault="00000000">
      <w:pPr>
        <w:pStyle w:val="ListBullet"/>
        <w:spacing w:after="20"/>
      </w:pPr>
      <w:r>
        <w:t>Analysis split across six dimensions: customers, orders, products, sellers, payments, and reviews.</w:t>
      </w:r>
    </w:p>
    <w:p w14:paraId="5D8BA432" w14:textId="77777777" w:rsidR="00DE694A" w:rsidRDefault="00000000">
      <w:pPr>
        <w:spacing w:before="200" w:after="60"/>
      </w:pPr>
      <w:r>
        <w:rPr>
          <w:b/>
          <w:color w:val="1F497D"/>
          <w:sz w:val="26"/>
        </w:rPr>
        <w:t>2. Customer Analysis</w:t>
      </w:r>
    </w:p>
    <w:p w14:paraId="5126EE66" w14:textId="77777777" w:rsidR="00DE694A" w:rsidRDefault="00000000">
      <w:pPr>
        <w:spacing w:before="120" w:after="40"/>
      </w:pPr>
      <w:r>
        <w:rPr>
          <w:b/>
          <w:color w:val="2E74B5"/>
          <w:sz w:val="22"/>
        </w:rPr>
        <w:t>2.1 Geographic Distribution</w:t>
      </w:r>
    </w:p>
    <w:p w14:paraId="5D94AFE5" w14:textId="77777777" w:rsidR="00DE694A" w:rsidRDefault="00000000">
      <w:pPr>
        <w:pStyle w:val="ListBullet"/>
        <w:spacing w:after="20"/>
      </w:pPr>
      <w:r>
        <w:t>CA leads with 25.5% of orders (2,546 orders), followed by TX at 18.9% (1,885) and FL at 13.1% (1,312).</w:t>
      </w:r>
    </w:p>
    <w:p w14:paraId="2C2CD329" w14:textId="77777777" w:rsidR="00DE694A" w:rsidRDefault="00000000">
      <w:pPr>
        <w:pStyle w:val="ListBullet"/>
        <w:spacing w:after="20"/>
      </w:pPr>
      <w:r>
        <w:t>Top 3 states account for 57% of total volume.</w:t>
      </w:r>
    </w:p>
    <w:p w14:paraId="4EADA61C" w14:textId="77777777" w:rsidR="00DE694A" w:rsidRDefault="00000000">
      <w:pPr>
        <w:pStyle w:val="ListBullet"/>
        <w:spacing w:after="20"/>
      </w:pPr>
      <w:r>
        <w:t>Remaining 7 states share 43%, with CO, WA, and AZ each contributing under 3%.</w:t>
      </w:r>
    </w:p>
    <w:p w14:paraId="76CA4E52" w14:textId="77777777" w:rsidR="00DE694A" w:rsidRDefault="00000000">
      <w:pPr>
        <w:spacing w:before="120" w:after="40"/>
      </w:pPr>
      <w:r>
        <w:rPr>
          <w:b/>
          <w:color w:val="2E74B5"/>
          <w:sz w:val="22"/>
        </w:rPr>
        <w:t>2.2 Demographics</w:t>
      </w:r>
    </w:p>
    <w:p w14:paraId="4A2B8AF0" w14:textId="77777777" w:rsidR="00DE694A" w:rsidRDefault="00000000">
      <w:pPr>
        <w:pStyle w:val="ListBullet"/>
        <w:spacing w:after="20"/>
      </w:pPr>
      <w:r>
        <w:t>Gender split: 64.3% Female, 35.7% Male.</w:t>
      </w:r>
    </w:p>
    <w:p w14:paraId="037DE971" w14:textId="77777777" w:rsidR="00DE694A" w:rsidRDefault="00000000">
      <w:pPr>
        <w:pStyle w:val="ListBullet"/>
        <w:spacing w:after="20"/>
      </w:pPr>
      <w:r>
        <w:t>Age distribution (post-treatment): mean 44.5 years, range 19–70.</w:t>
      </w:r>
    </w:p>
    <w:p w14:paraId="107135C6" w14:textId="77777777" w:rsidR="00DE694A" w:rsidRDefault="00000000">
      <w:pPr>
        <w:pStyle w:val="ListBullet"/>
        <w:spacing w:after="20"/>
      </w:pPr>
      <w:r>
        <w:t>Age peaks in the 35–55 bracket — core buying demographic.</w:t>
      </w:r>
    </w:p>
    <w:p w14:paraId="6228965D" w14:textId="77777777" w:rsidR="00DE694A" w:rsidRDefault="00000000">
      <w:pPr>
        <w:spacing w:before="120" w:after="40"/>
      </w:pPr>
      <w:r>
        <w:rPr>
          <w:b/>
          <w:color w:val="2E74B5"/>
          <w:sz w:val="22"/>
        </w:rPr>
        <w:t>2.3 Customer Segments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584"/>
        <w:gridCol w:w="5904"/>
      </w:tblGrid>
      <w:tr w:rsidR="00DE694A" w14:paraId="24D86029" w14:textId="77777777">
        <w:tc>
          <w:tcPr>
            <w:tcW w:w="1872" w:type="dxa"/>
            <w:shd w:val="clear" w:color="auto" w:fill="1F497D"/>
          </w:tcPr>
          <w:p w14:paraId="4A1D58C8" w14:textId="77777777" w:rsidR="00DE694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w="1584" w:type="dxa"/>
            <w:shd w:val="clear" w:color="auto" w:fill="1F497D"/>
          </w:tcPr>
          <w:p w14:paraId="62E3D92E" w14:textId="77777777" w:rsidR="00DE694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Order Share</w:t>
            </w:r>
          </w:p>
        </w:tc>
        <w:tc>
          <w:tcPr>
            <w:tcW w:w="5904" w:type="dxa"/>
            <w:shd w:val="clear" w:color="auto" w:fill="1F497D"/>
          </w:tcPr>
          <w:p w14:paraId="5A0FA276" w14:textId="77777777" w:rsidR="00DE694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Characteristics</w:t>
            </w:r>
          </w:p>
        </w:tc>
      </w:tr>
      <w:tr w:rsidR="00DE694A" w14:paraId="0C771CED" w14:textId="77777777">
        <w:tc>
          <w:tcPr>
            <w:tcW w:w="1872" w:type="dxa"/>
          </w:tcPr>
          <w:p w14:paraId="1BEDCFD3" w14:textId="77777777" w:rsidR="00DE694A" w:rsidRDefault="00000000">
            <w:r>
              <w:rPr>
                <w:sz w:val="19"/>
              </w:rPr>
              <w:t>Consumer</w:t>
            </w:r>
          </w:p>
        </w:tc>
        <w:tc>
          <w:tcPr>
            <w:tcW w:w="1584" w:type="dxa"/>
          </w:tcPr>
          <w:p w14:paraId="0D4A9DB5" w14:textId="77777777" w:rsidR="00DE694A" w:rsidRDefault="00000000">
            <w:r>
              <w:rPr>
                <w:sz w:val="19"/>
              </w:rPr>
              <w:t>69.8%</w:t>
            </w:r>
          </w:p>
        </w:tc>
        <w:tc>
          <w:tcPr>
            <w:tcW w:w="5904" w:type="dxa"/>
          </w:tcPr>
          <w:p w14:paraId="0290EA3F" w14:textId="77777777" w:rsidR="00DE694A" w:rsidRDefault="00000000">
            <w:r>
              <w:rPr>
                <w:sz w:val="19"/>
              </w:rPr>
              <w:t>Individual buyers; highest volume</w:t>
            </w:r>
          </w:p>
        </w:tc>
      </w:tr>
      <w:tr w:rsidR="00DE694A" w14:paraId="5DA72660" w14:textId="77777777">
        <w:tc>
          <w:tcPr>
            <w:tcW w:w="1872" w:type="dxa"/>
            <w:shd w:val="clear" w:color="auto" w:fill="EBF3FB"/>
          </w:tcPr>
          <w:p w14:paraId="509D5FC1" w14:textId="77777777" w:rsidR="00DE694A" w:rsidRDefault="00000000">
            <w:r>
              <w:rPr>
                <w:sz w:val="19"/>
              </w:rPr>
              <w:t>Corporate</w:t>
            </w:r>
          </w:p>
        </w:tc>
        <w:tc>
          <w:tcPr>
            <w:tcW w:w="1584" w:type="dxa"/>
            <w:shd w:val="clear" w:color="auto" w:fill="EBF3FB"/>
          </w:tcPr>
          <w:p w14:paraId="406F4DAA" w14:textId="77777777" w:rsidR="00DE694A" w:rsidRDefault="00000000">
            <w:r>
              <w:rPr>
                <w:sz w:val="19"/>
              </w:rPr>
              <w:t>20.5%</w:t>
            </w:r>
          </w:p>
        </w:tc>
        <w:tc>
          <w:tcPr>
            <w:tcW w:w="5904" w:type="dxa"/>
            <w:shd w:val="clear" w:color="auto" w:fill="EBF3FB"/>
          </w:tcPr>
          <w:p w14:paraId="09034628" w14:textId="77777777" w:rsidR="00DE694A" w:rsidRDefault="00000000">
            <w:r>
              <w:rPr>
                <w:sz w:val="19"/>
              </w:rPr>
              <w:t>Business accounts; larger basket sizes</w:t>
            </w:r>
          </w:p>
        </w:tc>
      </w:tr>
      <w:tr w:rsidR="00DE694A" w14:paraId="38538070" w14:textId="77777777">
        <w:tc>
          <w:tcPr>
            <w:tcW w:w="1872" w:type="dxa"/>
          </w:tcPr>
          <w:p w14:paraId="70781367" w14:textId="77777777" w:rsidR="00DE694A" w:rsidRDefault="00000000">
            <w:r>
              <w:rPr>
                <w:sz w:val="19"/>
              </w:rPr>
              <w:t>VIP</w:t>
            </w:r>
          </w:p>
        </w:tc>
        <w:tc>
          <w:tcPr>
            <w:tcW w:w="1584" w:type="dxa"/>
          </w:tcPr>
          <w:p w14:paraId="498D5126" w14:textId="77777777" w:rsidR="00DE694A" w:rsidRDefault="00000000">
            <w:r>
              <w:rPr>
                <w:sz w:val="19"/>
              </w:rPr>
              <w:t>9.8%</w:t>
            </w:r>
          </w:p>
        </w:tc>
        <w:tc>
          <w:tcPr>
            <w:tcW w:w="5904" w:type="dxa"/>
          </w:tcPr>
          <w:p w14:paraId="4D6F0D06" w14:textId="77777777" w:rsidR="00DE694A" w:rsidRDefault="00000000">
            <w:r>
              <w:rPr>
                <w:sz w:val="19"/>
              </w:rPr>
              <w:t>High-spend repeat customers; targeted for loyalty programs</w:t>
            </w:r>
          </w:p>
        </w:tc>
      </w:tr>
    </w:tbl>
    <w:p w14:paraId="767319AF" w14:textId="77777777" w:rsidR="00DE694A" w:rsidRDefault="00DE694A"/>
    <w:p w14:paraId="38AD35FA" w14:textId="77777777" w:rsidR="00DE694A" w:rsidRDefault="00000000">
      <w:pPr>
        <w:spacing w:before="120" w:after="40"/>
      </w:pPr>
      <w:r>
        <w:rPr>
          <w:b/>
          <w:color w:val="2E74B5"/>
          <w:sz w:val="22"/>
        </w:rPr>
        <w:t>2.4 Repeat Purchase Rate</w:t>
      </w:r>
    </w:p>
    <w:p w14:paraId="67FC84C5" w14:textId="77777777" w:rsidR="00DE694A" w:rsidRDefault="00000000">
      <w:pPr>
        <w:pStyle w:val="ListBullet"/>
        <w:spacing w:after="20"/>
      </w:pPr>
      <w:r>
        <w:t>10,000 orders placed by 7,898 unique customers → approximately 21% repeat rate.</w:t>
      </w:r>
    </w:p>
    <w:p w14:paraId="5D7E684F" w14:textId="77777777" w:rsidR="00DE694A" w:rsidRDefault="00000000">
      <w:pPr>
        <w:pStyle w:val="ListBullet"/>
        <w:spacing w:after="20"/>
      </w:pPr>
      <w:r>
        <w:t>Monthly customer acquisition trend shows a steady inflow with seasonal peaks.</w:t>
      </w:r>
    </w:p>
    <w:p w14:paraId="55748A5F" w14:textId="77777777" w:rsidR="00DE694A" w:rsidRDefault="00000000">
      <w:pPr>
        <w:spacing w:before="200" w:after="60"/>
      </w:pPr>
      <w:r>
        <w:rPr>
          <w:b/>
          <w:color w:val="1F497D"/>
          <w:sz w:val="26"/>
        </w:rPr>
        <w:t>3. Order Performance</w:t>
      </w:r>
    </w:p>
    <w:p w14:paraId="72ED3906" w14:textId="77777777" w:rsidR="00DE694A" w:rsidRDefault="00000000">
      <w:pPr>
        <w:spacing w:before="120" w:after="40"/>
      </w:pPr>
      <w:r>
        <w:rPr>
          <w:b/>
          <w:color w:val="2E74B5"/>
          <w:sz w:val="22"/>
        </w:rPr>
        <w:t>3.1 Order Status</w:t>
      </w:r>
    </w:p>
    <w:p w14:paraId="11B18535" w14:textId="77777777" w:rsidR="00DE694A" w:rsidRDefault="00000000">
      <w:pPr>
        <w:pStyle w:val="ListBullet"/>
        <w:spacing w:after="20"/>
      </w:pPr>
      <w:r>
        <w:t>9,332 delivered (93.3%), 668 canceled (6.7%).</w:t>
      </w:r>
    </w:p>
    <w:p w14:paraId="624FF6A1" w14:textId="77777777" w:rsidR="00DE694A" w:rsidRDefault="00000000">
      <w:pPr>
        <w:pStyle w:val="ListBullet"/>
        <w:spacing w:after="20"/>
      </w:pPr>
      <w:r>
        <w:t>Cancellation rate of 6.7% is a baseline for monitoring fulfillment risk.</w:t>
      </w:r>
    </w:p>
    <w:p w14:paraId="30B5570E" w14:textId="77777777" w:rsidR="00DE694A" w:rsidRDefault="00000000">
      <w:pPr>
        <w:spacing w:before="120" w:after="40"/>
      </w:pPr>
      <w:r>
        <w:rPr>
          <w:b/>
          <w:color w:val="2E74B5"/>
          <w:sz w:val="22"/>
        </w:rPr>
        <w:t>3.2 Delivery Performance</w:t>
      </w:r>
    </w:p>
    <w:p w14:paraId="37D98263" w14:textId="77777777" w:rsidR="00DE694A" w:rsidRDefault="00000000">
      <w:pPr>
        <w:pStyle w:val="ListBullet"/>
        <w:spacing w:after="20"/>
      </w:pPr>
      <w:r>
        <w:t>90.4% of delivered orders arrived on or before the estimated delivery date.</w:t>
      </w:r>
    </w:p>
    <w:p w14:paraId="2E6BE2B0" w14:textId="77777777" w:rsidR="00DE694A" w:rsidRDefault="00000000">
      <w:pPr>
        <w:pStyle w:val="ListBullet"/>
        <w:spacing w:after="20"/>
      </w:pPr>
      <w:r>
        <w:t>Average actual delivery time: 7.5 days.</w:t>
      </w:r>
    </w:p>
    <w:p w14:paraId="7BE441CA" w14:textId="77777777" w:rsidR="00DE694A" w:rsidRDefault="00000000">
      <w:pPr>
        <w:pStyle w:val="ListBullet"/>
        <w:spacing w:after="20"/>
      </w:pPr>
      <w:r>
        <w:t>9.6% late deliveries (arrived after estimated date) represent operational improvement opportunity.</w:t>
      </w:r>
    </w:p>
    <w:p w14:paraId="7EBCEA00" w14:textId="77777777" w:rsidR="00DE694A" w:rsidRDefault="00000000">
      <w:pPr>
        <w:spacing w:before="120" w:after="40"/>
      </w:pPr>
      <w:r>
        <w:rPr>
          <w:b/>
          <w:color w:val="2E74B5"/>
          <w:sz w:val="22"/>
        </w:rPr>
        <w:t>3.3 Temporal Patterns</w:t>
      </w:r>
    </w:p>
    <w:p w14:paraId="3069F983" w14:textId="77777777" w:rsidR="00DE694A" w:rsidRDefault="00000000">
      <w:pPr>
        <w:pStyle w:val="ListBullet"/>
        <w:spacing w:after="20"/>
      </w:pPr>
      <w:r>
        <w:t>Order volume shows year-over-year monthly consistency with seasonal demand peaks.</w:t>
      </w:r>
    </w:p>
    <w:p w14:paraId="6C95E5A3" w14:textId="77777777" w:rsidR="00DE694A" w:rsidRDefault="00000000">
      <w:pPr>
        <w:pStyle w:val="ListBullet"/>
        <w:spacing w:after="20"/>
      </w:pPr>
      <w:r>
        <w:t>End-of-week orders (Friday–Sunday) run higher than weekday volume.</w:t>
      </w:r>
    </w:p>
    <w:p w14:paraId="4D979041" w14:textId="77777777" w:rsidR="00DE694A" w:rsidRDefault="00000000">
      <w:pPr>
        <w:pStyle w:val="ListBullet"/>
        <w:spacing w:after="20"/>
      </w:pPr>
      <w:r>
        <w:t>No single month dominates; demand is broadly distributed across the year.</w:t>
      </w:r>
    </w:p>
    <w:p w14:paraId="0227B42A" w14:textId="77777777" w:rsidR="00FF7BC5" w:rsidRDefault="00FF7BC5">
      <w:pPr>
        <w:spacing w:before="200" w:after="60"/>
        <w:rPr>
          <w:b/>
          <w:color w:val="1F497D"/>
          <w:sz w:val="26"/>
        </w:rPr>
      </w:pPr>
    </w:p>
    <w:p w14:paraId="0CBA3BAB" w14:textId="77777777" w:rsidR="00FF7BC5" w:rsidRDefault="00FF7BC5">
      <w:pPr>
        <w:spacing w:before="200" w:after="60"/>
        <w:rPr>
          <w:b/>
          <w:color w:val="1F497D"/>
          <w:sz w:val="26"/>
        </w:rPr>
      </w:pPr>
    </w:p>
    <w:p w14:paraId="4A85F923" w14:textId="48374E0E" w:rsidR="00DE694A" w:rsidRDefault="00000000">
      <w:pPr>
        <w:spacing w:before="200" w:after="60"/>
      </w:pPr>
      <w:r>
        <w:rPr>
          <w:b/>
          <w:color w:val="1F497D"/>
          <w:sz w:val="26"/>
        </w:rPr>
        <w:lastRenderedPageBreak/>
        <w:t>4. Product Analysis</w:t>
      </w:r>
    </w:p>
    <w:p w14:paraId="10B3804B" w14:textId="77777777" w:rsidR="00DE694A" w:rsidRDefault="00000000">
      <w:pPr>
        <w:spacing w:before="120" w:after="40"/>
      </w:pPr>
      <w:r>
        <w:rPr>
          <w:b/>
          <w:color w:val="2E74B5"/>
          <w:sz w:val="22"/>
        </w:rPr>
        <w:t>4.1 Category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872"/>
        <w:gridCol w:w="2736"/>
      </w:tblGrid>
      <w:tr w:rsidR="00DE694A" w14:paraId="346A1951" w14:textId="77777777">
        <w:tc>
          <w:tcPr>
            <w:tcW w:w="2592" w:type="dxa"/>
            <w:shd w:val="clear" w:color="auto" w:fill="1F497D"/>
          </w:tcPr>
          <w:p w14:paraId="514D8926" w14:textId="77777777" w:rsidR="00DE694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1872" w:type="dxa"/>
            <w:shd w:val="clear" w:color="auto" w:fill="1F497D"/>
          </w:tcPr>
          <w:p w14:paraId="269350B8" w14:textId="77777777" w:rsidR="00DE694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Item Count</w:t>
            </w:r>
          </w:p>
        </w:tc>
        <w:tc>
          <w:tcPr>
            <w:tcW w:w="2736" w:type="dxa"/>
            <w:shd w:val="clear" w:color="auto" w:fill="1F497D"/>
          </w:tcPr>
          <w:p w14:paraId="7C8C7B7B" w14:textId="77777777" w:rsidR="00DE694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Share of Orders</w:t>
            </w:r>
          </w:p>
        </w:tc>
      </w:tr>
      <w:tr w:rsidR="00DE694A" w14:paraId="052258EC" w14:textId="77777777">
        <w:tc>
          <w:tcPr>
            <w:tcW w:w="2592" w:type="dxa"/>
          </w:tcPr>
          <w:p w14:paraId="655A072C" w14:textId="77777777" w:rsidR="00DE694A" w:rsidRDefault="00000000">
            <w:r>
              <w:rPr>
                <w:sz w:val="19"/>
              </w:rPr>
              <w:t>Electronics</w:t>
            </w:r>
          </w:p>
        </w:tc>
        <w:tc>
          <w:tcPr>
            <w:tcW w:w="1872" w:type="dxa"/>
          </w:tcPr>
          <w:p w14:paraId="49D21F84" w14:textId="77777777" w:rsidR="00DE694A" w:rsidRDefault="00000000">
            <w:r>
              <w:rPr>
                <w:sz w:val="19"/>
              </w:rPr>
              <w:t>3,860</w:t>
            </w:r>
          </w:p>
        </w:tc>
        <w:tc>
          <w:tcPr>
            <w:tcW w:w="2736" w:type="dxa"/>
          </w:tcPr>
          <w:p w14:paraId="1D0FE073" w14:textId="77777777" w:rsidR="00DE694A" w:rsidRDefault="00000000">
            <w:r>
              <w:rPr>
                <w:sz w:val="19"/>
              </w:rPr>
              <w:t>38.6%</w:t>
            </w:r>
          </w:p>
        </w:tc>
      </w:tr>
      <w:tr w:rsidR="00DE694A" w14:paraId="16E6B05E" w14:textId="77777777">
        <w:tc>
          <w:tcPr>
            <w:tcW w:w="2592" w:type="dxa"/>
            <w:shd w:val="clear" w:color="auto" w:fill="EBF3FB"/>
          </w:tcPr>
          <w:p w14:paraId="11BA119B" w14:textId="77777777" w:rsidR="00DE694A" w:rsidRDefault="00000000">
            <w:r>
              <w:rPr>
                <w:sz w:val="19"/>
              </w:rPr>
              <w:t>Fashion</w:t>
            </w:r>
          </w:p>
        </w:tc>
        <w:tc>
          <w:tcPr>
            <w:tcW w:w="1872" w:type="dxa"/>
            <w:shd w:val="clear" w:color="auto" w:fill="EBF3FB"/>
          </w:tcPr>
          <w:p w14:paraId="2A421FCE" w14:textId="77777777" w:rsidR="00DE694A" w:rsidRDefault="00000000">
            <w:r>
              <w:rPr>
                <w:sz w:val="19"/>
              </w:rPr>
              <w:t>2,002</w:t>
            </w:r>
          </w:p>
        </w:tc>
        <w:tc>
          <w:tcPr>
            <w:tcW w:w="2736" w:type="dxa"/>
            <w:shd w:val="clear" w:color="auto" w:fill="EBF3FB"/>
          </w:tcPr>
          <w:p w14:paraId="45CAFA07" w14:textId="77777777" w:rsidR="00DE694A" w:rsidRDefault="00000000">
            <w:r>
              <w:rPr>
                <w:sz w:val="19"/>
              </w:rPr>
              <w:t>20.0%</w:t>
            </w:r>
          </w:p>
        </w:tc>
      </w:tr>
      <w:tr w:rsidR="00DE694A" w14:paraId="4EE64039" w14:textId="77777777">
        <w:tc>
          <w:tcPr>
            <w:tcW w:w="2592" w:type="dxa"/>
          </w:tcPr>
          <w:p w14:paraId="2B08C71D" w14:textId="77777777" w:rsidR="00DE694A" w:rsidRDefault="00000000">
            <w:r>
              <w:rPr>
                <w:sz w:val="19"/>
              </w:rPr>
              <w:t>Books</w:t>
            </w:r>
          </w:p>
        </w:tc>
        <w:tc>
          <w:tcPr>
            <w:tcW w:w="1872" w:type="dxa"/>
          </w:tcPr>
          <w:p w14:paraId="0ACB6986" w14:textId="77777777" w:rsidR="00DE694A" w:rsidRDefault="00000000">
            <w:r>
              <w:rPr>
                <w:sz w:val="19"/>
              </w:rPr>
              <w:t>1,451</w:t>
            </w:r>
          </w:p>
        </w:tc>
        <w:tc>
          <w:tcPr>
            <w:tcW w:w="2736" w:type="dxa"/>
          </w:tcPr>
          <w:p w14:paraId="389BDFD2" w14:textId="77777777" w:rsidR="00DE694A" w:rsidRDefault="00000000">
            <w:r>
              <w:rPr>
                <w:sz w:val="19"/>
              </w:rPr>
              <w:t>14.5%</w:t>
            </w:r>
          </w:p>
        </w:tc>
      </w:tr>
      <w:tr w:rsidR="00DE694A" w14:paraId="49FB1D6E" w14:textId="77777777">
        <w:tc>
          <w:tcPr>
            <w:tcW w:w="2592" w:type="dxa"/>
            <w:shd w:val="clear" w:color="auto" w:fill="EBF3FB"/>
          </w:tcPr>
          <w:p w14:paraId="723AA8BD" w14:textId="77777777" w:rsidR="00DE694A" w:rsidRDefault="00000000">
            <w:r>
              <w:rPr>
                <w:sz w:val="19"/>
              </w:rPr>
              <w:t>Home Goods</w:t>
            </w:r>
          </w:p>
        </w:tc>
        <w:tc>
          <w:tcPr>
            <w:tcW w:w="1872" w:type="dxa"/>
            <w:shd w:val="clear" w:color="auto" w:fill="EBF3FB"/>
          </w:tcPr>
          <w:p w14:paraId="4F68594A" w14:textId="77777777" w:rsidR="00DE694A" w:rsidRDefault="00000000">
            <w:r>
              <w:rPr>
                <w:sz w:val="19"/>
              </w:rPr>
              <w:t>~800</w:t>
            </w:r>
          </w:p>
        </w:tc>
        <w:tc>
          <w:tcPr>
            <w:tcW w:w="2736" w:type="dxa"/>
            <w:shd w:val="clear" w:color="auto" w:fill="EBF3FB"/>
          </w:tcPr>
          <w:p w14:paraId="713644D2" w14:textId="77777777" w:rsidR="00DE694A" w:rsidRDefault="00000000">
            <w:r>
              <w:rPr>
                <w:sz w:val="19"/>
              </w:rPr>
              <w:t>~8%</w:t>
            </w:r>
          </w:p>
        </w:tc>
      </w:tr>
      <w:tr w:rsidR="00DE694A" w14:paraId="0659DAE2" w14:textId="77777777">
        <w:tc>
          <w:tcPr>
            <w:tcW w:w="2592" w:type="dxa"/>
          </w:tcPr>
          <w:p w14:paraId="41A4E997" w14:textId="77777777" w:rsidR="00DE694A" w:rsidRDefault="00000000">
            <w:r>
              <w:rPr>
                <w:sz w:val="19"/>
              </w:rPr>
              <w:t>Auto</w:t>
            </w:r>
          </w:p>
        </w:tc>
        <w:tc>
          <w:tcPr>
            <w:tcW w:w="1872" w:type="dxa"/>
          </w:tcPr>
          <w:p w14:paraId="6EA21D85" w14:textId="77777777" w:rsidR="00DE694A" w:rsidRDefault="00000000">
            <w:r>
              <w:rPr>
                <w:sz w:val="19"/>
              </w:rPr>
              <w:t>~700</w:t>
            </w:r>
          </w:p>
        </w:tc>
        <w:tc>
          <w:tcPr>
            <w:tcW w:w="2736" w:type="dxa"/>
          </w:tcPr>
          <w:p w14:paraId="5C536516" w14:textId="77777777" w:rsidR="00DE694A" w:rsidRDefault="00000000">
            <w:r>
              <w:rPr>
                <w:sz w:val="19"/>
              </w:rPr>
              <w:t>~7%</w:t>
            </w:r>
          </w:p>
        </w:tc>
      </w:tr>
      <w:tr w:rsidR="00DE694A" w14:paraId="1829D385" w14:textId="77777777">
        <w:tc>
          <w:tcPr>
            <w:tcW w:w="2592" w:type="dxa"/>
            <w:shd w:val="clear" w:color="auto" w:fill="EBF3FB"/>
          </w:tcPr>
          <w:p w14:paraId="402EB411" w14:textId="77777777" w:rsidR="00DE694A" w:rsidRDefault="00000000">
            <w:r>
              <w:rPr>
                <w:sz w:val="19"/>
              </w:rPr>
              <w:t>Furniture</w:t>
            </w:r>
          </w:p>
        </w:tc>
        <w:tc>
          <w:tcPr>
            <w:tcW w:w="1872" w:type="dxa"/>
            <w:shd w:val="clear" w:color="auto" w:fill="EBF3FB"/>
          </w:tcPr>
          <w:p w14:paraId="5ABED135" w14:textId="77777777" w:rsidR="00DE694A" w:rsidRDefault="00000000">
            <w:r>
              <w:rPr>
                <w:sz w:val="19"/>
              </w:rPr>
              <w:t>~650</w:t>
            </w:r>
          </w:p>
        </w:tc>
        <w:tc>
          <w:tcPr>
            <w:tcW w:w="2736" w:type="dxa"/>
            <w:shd w:val="clear" w:color="auto" w:fill="EBF3FB"/>
          </w:tcPr>
          <w:p w14:paraId="656CC0B5" w14:textId="77777777" w:rsidR="00DE694A" w:rsidRDefault="00000000">
            <w:r>
              <w:rPr>
                <w:sz w:val="19"/>
              </w:rPr>
              <w:t>~6%</w:t>
            </w:r>
          </w:p>
        </w:tc>
      </w:tr>
      <w:tr w:rsidR="00DE694A" w14:paraId="58741177" w14:textId="77777777">
        <w:tc>
          <w:tcPr>
            <w:tcW w:w="2592" w:type="dxa"/>
          </w:tcPr>
          <w:p w14:paraId="17A46126" w14:textId="77777777" w:rsidR="00DE694A" w:rsidRDefault="00000000">
            <w:r>
              <w:rPr>
                <w:sz w:val="19"/>
              </w:rPr>
              <w:t>Toys</w:t>
            </w:r>
          </w:p>
        </w:tc>
        <w:tc>
          <w:tcPr>
            <w:tcW w:w="1872" w:type="dxa"/>
          </w:tcPr>
          <w:p w14:paraId="182F9B64" w14:textId="77777777" w:rsidR="00DE694A" w:rsidRDefault="00000000">
            <w:r>
              <w:rPr>
                <w:sz w:val="19"/>
              </w:rPr>
              <w:t>~600</w:t>
            </w:r>
          </w:p>
        </w:tc>
        <w:tc>
          <w:tcPr>
            <w:tcW w:w="2736" w:type="dxa"/>
          </w:tcPr>
          <w:p w14:paraId="756901B9" w14:textId="77777777" w:rsidR="00DE694A" w:rsidRDefault="00000000">
            <w:r>
              <w:rPr>
                <w:sz w:val="19"/>
              </w:rPr>
              <w:t>~6%</w:t>
            </w:r>
          </w:p>
        </w:tc>
      </w:tr>
    </w:tbl>
    <w:p w14:paraId="77CED46C" w14:textId="77777777" w:rsidR="00DE694A" w:rsidRDefault="00DE694A"/>
    <w:p w14:paraId="54B83D67" w14:textId="77777777" w:rsidR="00DE694A" w:rsidRDefault="00000000">
      <w:pPr>
        <w:pStyle w:val="ListBullet"/>
        <w:spacing w:after="20"/>
      </w:pPr>
      <w:r>
        <w:t>Electronics accounts for more than a third of all items sold — single largest category.</w:t>
      </w:r>
    </w:p>
    <w:p w14:paraId="3B187029" w14:textId="77777777" w:rsidR="00DE694A" w:rsidRDefault="00000000">
      <w:pPr>
        <w:pStyle w:val="ListBullet"/>
        <w:spacing w:after="20"/>
      </w:pPr>
      <w:r>
        <w:t>Fashion and Books together cover another 34.5%, making three categories the primary revenue drivers.</w:t>
      </w:r>
    </w:p>
    <w:p w14:paraId="3393A345" w14:textId="77777777" w:rsidR="00DE694A" w:rsidRDefault="00000000">
      <w:pPr>
        <w:spacing w:before="120" w:after="40"/>
      </w:pPr>
      <w:r>
        <w:rPr>
          <w:b/>
          <w:color w:val="2E74B5"/>
          <w:sz w:val="22"/>
        </w:rPr>
        <w:t>4.2 Pricing</w:t>
      </w:r>
    </w:p>
    <w:p w14:paraId="41EB67C1" w14:textId="77777777" w:rsidR="00DE694A" w:rsidRDefault="00000000">
      <w:pPr>
        <w:pStyle w:val="ListBullet"/>
        <w:spacing w:after="20"/>
      </w:pPr>
      <w:r>
        <w:t>Product price distribution is right-skewed; bulk of the catalog sits in the $100–$500 range.</w:t>
      </w:r>
    </w:p>
    <w:p w14:paraId="7EF84135" w14:textId="77777777" w:rsidR="00DE694A" w:rsidRDefault="00000000">
      <w:pPr>
        <w:pStyle w:val="ListBullet"/>
        <w:spacing w:after="20"/>
      </w:pPr>
      <w:r>
        <w:t>4% of item prices exceed $1,746 — a valid premium tier rather than data errors.</w:t>
      </w:r>
    </w:p>
    <w:p w14:paraId="14EA9640" w14:textId="77777777" w:rsidR="00DE694A" w:rsidRDefault="00000000">
      <w:pPr>
        <w:spacing w:before="200" w:after="60"/>
      </w:pPr>
      <w:r>
        <w:rPr>
          <w:b/>
          <w:color w:val="1F497D"/>
          <w:sz w:val="26"/>
        </w:rPr>
        <w:t>5. Seller Ecosystem</w:t>
      </w:r>
    </w:p>
    <w:p w14:paraId="0692E2CE" w14:textId="77777777" w:rsidR="00DE694A" w:rsidRDefault="00000000">
      <w:pPr>
        <w:spacing w:before="120" w:after="40"/>
      </w:pPr>
      <w:r>
        <w:rPr>
          <w:b/>
          <w:color w:val="2E74B5"/>
          <w:sz w:val="22"/>
        </w:rPr>
        <w:t>5.1 Revenue Concentration</w:t>
      </w:r>
    </w:p>
    <w:p w14:paraId="4C13AC3D" w14:textId="77777777" w:rsidR="00DE694A" w:rsidRDefault="00000000">
      <w:pPr>
        <w:pStyle w:val="ListBullet"/>
        <w:spacing w:after="20"/>
      </w:pPr>
      <w:r>
        <w:t>362 sellers (72% of the 500-seller base) generate 80% of total revenue — a classic Pareto split.</w:t>
      </w:r>
    </w:p>
    <w:p w14:paraId="29C36ADE" w14:textId="77777777" w:rsidR="00DE694A" w:rsidRDefault="00000000">
      <w:pPr>
        <w:pStyle w:val="ListBullet"/>
        <w:spacing w:after="20"/>
      </w:pPr>
      <w:r>
        <w:t>Top seller (Thomas and Sons) significantly outpaces all others.</w:t>
      </w:r>
    </w:p>
    <w:p w14:paraId="48E77DCC" w14:textId="77777777" w:rsidR="00DE694A" w:rsidRDefault="00000000">
      <w:pPr>
        <w:pStyle w:val="ListBullet"/>
        <w:spacing w:after="20"/>
      </w:pPr>
      <w:r>
        <w:t>Bottom 28% of sellers (138 sellers) share only 20% of revenue.</w:t>
      </w:r>
    </w:p>
    <w:p w14:paraId="73D1C8F5" w14:textId="77777777" w:rsidR="00DE694A" w:rsidRDefault="00000000">
      <w:pPr>
        <w:spacing w:before="120" w:after="40"/>
      </w:pPr>
      <w:r>
        <w:rPr>
          <w:b/>
          <w:color w:val="2E74B5"/>
          <w:sz w:val="22"/>
        </w:rPr>
        <w:t>5.2 Geographic Distribution</w:t>
      </w:r>
    </w:p>
    <w:p w14:paraId="521754A4" w14:textId="77777777" w:rsidR="00DE694A" w:rsidRDefault="00000000">
      <w:pPr>
        <w:pStyle w:val="ListBullet"/>
        <w:spacing w:after="20"/>
      </w:pPr>
      <w:r>
        <w:t>Seller locations mirror customer locations: CA, TX, and NY lead.</w:t>
      </w:r>
    </w:p>
    <w:p w14:paraId="6416F84F" w14:textId="77777777" w:rsidR="00DE694A" w:rsidRDefault="00000000">
      <w:pPr>
        <w:pStyle w:val="ListBullet"/>
        <w:spacing w:after="20"/>
      </w:pPr>
      <w:r>
        <w:t>Demand-supply alignment is strong — top buying states also host the top selling companies.</w:t>
      </w:r>
    </w:p>
    <w:p w14:paraId="6040DBA5" w14:textId="77777777" w:rsidR="00DE694A" w:rsidRDefault="00000000">
      <w:pPr>
        <w:spacing w:before="200" w:after="60"/>
      </w:pPr>
      <w:r>
        <w:rPr>
          <w:b/>
          <w:color w:val="1F497D"/>
          <w:sz w:val="26"/>
        </w:rPr>
        <w:t>6. Payment Analysis</w:t>
      </w:r>
    </w:p>
    <w:p w14:paraId="333726D4" w14:textId="77777777" w:rsidR="00DE694A" w:rsidRDefault="00000000">
      <w:pPr>
        <w:spacing w:before="120" w:after="40"/>
      </w:pPr>
      <w:r>
        <w:rPr>
          <w:b/>
          <w:color w:val="2E74B5"/>
          <w:sz w:val="22"/>
        </w:rPr>
        <w:t>6.1 Payment Method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2160"/>
      </w:tblGrid>
      <w:tr w:rsidR="00DE694A" w14:paraId="265E1475" w14:textId="77777777">
        <w:tc>
          <w:tcPr>
            <w:tcW w:w="3168" w:type="dxa"/>
            <w:shd w:val="clear" w:color="auto" w:fill="1F497D"/>
          </w:tcPr>
          <w:p w14:paraId="65D95D58" w14:textId="77777777" w:rsidR="00DE694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Payment Method</w:t>
            </w:r>
          </w:p>
        </w:tc>
        <w:tc>
          <w:tcPr>
            <w:tcW w:w="2160" w:type="dxa"/>
            <w:shd w:val="clear" w:color="auto" w:fill="1F497D"/>
          </w:tcPr>
          <w:p w14:paraId="5EDEDA00" w14:textId="77777777" w:rsidR="00DE694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Order Share</w:t>
            </w:r>
          </w:p>
        </w:tc>
      </w:tr>
      <w:tr w:rsidR="00DE694A" w14:paraId="60C0761E" w14:textId="77777777">
        <w:tc>
          <w:tcPr>
            <w:tcW w:w="3168" w:type="dxa"/>
          </w:tcPr>
          <w:p w14:paraId="024399E9" w14:textId="77777777" w:rsidR="00DE694A" w:rsidRDefault="00000000">
            <w:r>
              <w:rPr>
                <w:sz w:val="19"/>
              </w:rPr>
              <w:t>Credit Card</w:t>
            </w:r>
          </w:p>
        </w:tc>
        <w:tc>
          <w:tcPr>
            <w:tcW w:w="2160" w:type="dxa"/>
          </w:tcPr>
          <w:p w14:paraId="7674251B" w14:textId="77777777" w:rsidR="00DE694A" w:rsidRDefault="00000000">
            <w:r>
              <w:rPr>
                <w:sz w:val="19"/>
              </w:rPr>
              <w:t>50.3%</w:t>
            </w:r>
          </w:p>
        </w:tc>
      </w:tr>
      <w:tr w:rsidR="00DE694A" w14:paraId="58172E70" w14:textId="77777777">
        <w:tc>
          <w:tcPr>
            <w:tcW w:w="3168" w:type="dxa"/>
            <w:shd w:val="clear" w:color="auto" w:fill="EBF3FB"/>
          </w:tcPr>
          <w:p w14:paraId="528050A9" w14:textId="77777777" w:rsidR="00DE694A" w:rsidRDefault="00000000">
            <w:r>
              <w:rPr>
                <w:sz w:val="19"/>
              </w:rPr>
              <w:t>PayPal</w:t>
            </w:r>
          </w:p>
        </w:tc>
        <w:tc>
          <w:tcPr>
            <w:tcW w:w="2160" w:type="dxa"/>
            <w:shd w:val="clear" w:color="auto" w:fill="EBF3FB"/>
          </w:tcPr>
          <w:p w14:paraId="1FA35596" w14:textId="77777777" w:rsidR="00DE694A" w:rsidRDefault="00000000">
            <w:r>
              <w:rPr>
                <w:sz w:val="19"/>
              </w:rPr>
              <w:t>13.0%</w:t>
            </w:r>
          </w:p>
        </w:tc>
      </w:tr>
      <w:tr w:rsidR="00DE694A" w14:paraId="71EDDB9A" w14:textId="77777777">
        <w:tc>
          <w:tcPr>
            <w:tcW w:w="3168" w:type="dxa"/>
          </w:tcPr>
          <w:p w14:paraId="0C5D5B74" w14:textId="77777777" w:rsidR="00DE694A" w:rsidRDefault="00000000">
            <w:r>
              <w:rPr>
                <w:sz w:val="19"/>
              </w:rPr>
              <w:t>Bank Transfer</w:t>
            </w:r>
          </w:p>
        </w:tc>
        <w:tc>
          <w:tcPr>
            <w:tcW w:w="2160" w:type="dxa"/>
          </w:tcPr>
          <w:p w14:paraId="748A1FAB" w14:textId="77777777" w:rsidR="00DE694A" w:rsidRDefault="00000000">
            <w:r>
              <w:rPr>
                <w:sz w:val="19"/>
              </w:rPr>
              <w:t>9.8%</w:t>
            </w:r>
          </w:p>
        </w:tc>
      </w:tr>
      <w:tr w:rsidR="00DE694A" w14:paraId="57231F35" w14:textId="77777777">
        <w:tc>
          <w:tcPr>
            <w:tcW w:w="3168" w:type="dxa"/>
            <w:shd w:val="clear" w:color="auto" w:fill="EBF3FB"/>
          </w:tcPr>
          <w:p w14:paraId="4D0EA625" w14:textId="77777777" w:rsidR="00DE694A" w:rsidRDefault="00000000">
            <w:r>
              <w:rPr>
                <w:sz w:val="19"/>
              </w:rPr>
              <w:t>Debit Card</w:t>
            </w:r>
          </w:p>
        </w:tc>
        <w:tc>
          <w:tcPr>
            <w:tcW w:w="2160" w:type="dxa"/>
            <w:shd w:val="clear" w:color="auto" w:fill="EBF3FB"/>
          </w:tcPr>
          <w:p w14:paraId="4608B561" w14:textId="77777777" w:rsidR="00DE694A" w:rsidRDefault="00000000">
            <w:r>
              <w:rPr>
                <w:sz w:val="19"/>
              </w:rPr>
              <w:t>8.9%</w:t>
            </w:r>
          </w:p>
        </w:tc>
      </w:tr>
      <w:tr w:rsidR="00DE694A" w14:paraId="542832CF" w14:textId="77777777">
        <w:tc>
          <w:tcPr>
            <w:tcW w:w="3168" w:type="dxa"/>
          </w:tcPr>
          <w:p w14:paraId="79710D57" w14:textId="77777777" w:rsidR="00DE694A" w:rsidRDefault="00000000">
            <w:r>
              <w:rPr>
                <w:sz w:val="19"/>
              </w:rPr>
              <w:t>Apple Pay</w:t>
            </w:r>
          </w:p>
        </w:tc>
        <w:tc>
          <w:tcPr>
            <w:tcW w:w="2160" w:type="dxa"/>
          </w:tcPr>
          <w:p w14:paraId="0119C1B0" w14:textId="77777777" w:rsidR="00DE694A" w:rsidRDefault="00000000">
            <w:r>
              <w:rPr>
                <w:sz w:val="19"/>
              </w:rPr>
              <w:t>8.6%</w:t>
            </w:r>
          </w:p>
        </w:tc>
      </w:tr>
      <w:tr w:rsidR="00DE694A" w14:paraId="2B68D060" w14:textId="77777777">
        <w:tc>
          <w:tcPr>
            <w:tcW w:w="3168" w:type="dxa"/>
            <w:shd w:val="clear" w:color="auto" w:fill="EBF3FB"/>
          </w:tcPr>
          <w:p w14:paraId="2532200B" w14:textId="77777777" w:rsidR="00DE694A" w:rsidRDefault="00000000">
            <w:r>
              <w:rPr>
                <w:sz w:val="19"/>
              </w:rPr>
              <w:t>Voucher</w:t>
            </w:r>
          </w:p>
        </w:tc>
        <w:tc>
          <w:tcPr>
            <w:tcW w:w="2160" w:type="dxa"/>
            <w:shd w:val="clear" w:color="auto" w:fill="EBF3FB"/>
          </w:tcPr>
          <w:p w14:paraId="0F041A12" w14:textId="77777777" w:rsidR="00DE694A" w:rsidRDefault="00000000">
            <w:r>
              <w:rPr>
                <w:sz w:val="19"/>
              </w:rPr>
              <w:t>6.8%</w:t>
            </w:r>
          </w:p>
        </w:tc>
      </w:tr>
      <w:tr w:rsidR="00DE694A" w14:paraId="02E09F13" w14:textId="77777777">
        <w:tc>
          <w:tcPr>
            <w:tcW w:w="3168" w:type="dxa"/>
          </w:tcPr>
          <w:p w14:paraId="6F0EB050" w14:textId="77777777" w:rsidR="00DE694A" w:rsidRDefault="00000000">
            <w:r>
              <w:rPr>
                <w:sz w:val="19"/>
              </w:rPr>
              <w:t>Boleto</w:t>
            </w:r>
          </w:p>
        </w:tc>
        <w:tc>
          <w:tcPr>
            <w:tcW w:w="2160" w:type="dxa"/>
          </w:tcPr>
          <w:p w14:paraId="218EEB2B" w14:textId="77777777" w:rsidR="00DE694A" w:rsidRDefault="00000000">
            <w:r>
              <w:rPr>
                <w:sz w:val="19"/>
              </w:rPr>
              <w:t>2.5%</w:t>
            </w:r>
          </w:p>
        </w:tc>
      </w:tr>
    </w:tbl>
    <w:p w14:paraId="7E435631" w14:textId="77777777" w:rsidR="00DE694A" w:rsidRDefault="00DE694A"/>
    <w:p w14:paraId="784EA224" w14:textId="77777777" w:rsidR="00DE694A" w:rsidRDefault="00000000">
      <w:pPr>
        <w:spacing w:before="120" w:after="40"/>
      </w:pPr>
      <w:r>
        <w:rPr>
          <w:b/>
          <w:color w:val="2E74B5"/>
          <w:sz w:val="22"/>
        </w:rPr>
        <w:t>6.2 Installment Usage</w:t>
      </w:r>
    </w:p>
    <w:p w14:paraId="7BAF3816" w14:textId="77777777" w:rsidR="00DE694A" w:rsidRDefault="00000000">
      <w:pPr>
        <w:pStyle w:val="ListBullet"/>
        <w:spacing w:after="20"/>
      </w:pPr>
      <w:r>
        <w:t>46% of orders paid in full (single installment).</w:t>
      </w:r>
    </w:p>
    <w:p w14:paraId="0C078B52" w14:textId="77777777" w:rsidR="00DE694A" w:rsidRDefault="00000000">
      <w:pPr>
        <w:pStyle w:val="ListBullet"/>
        <w:spacing w:after="20"/>
      </w:pPr>
      <w:r>
        <w:t>54% of orders paid in installments (2–12 payments), primarily via credit card.</w:t>
      </w:r>
    </w:p>
    <w:p w14:paraId="18788EDA" w14:textId="77777777" w:rsidR="00DE694A" w:rsidRDefault="00000000">
      <w:pPr>
        <w:pStyle w:val="ListBullet"/>
        <w:spacing w:after="20"/>
      </w:pPr>
      <w:r>
        <w:t>Deferred payment options appear to be a deciding factor for completing higher-value orders.</w:t>
      </w:r>
    </w:p>
    <w:p w14:paraId="2A85099B" w14:textId="77777777" w:rsidR="00FF7BC5" w:rsidRDefault="00FF7BC5">
      <w:pPr>
        <w:spacing w:before="120" w:after="40"/>
        <w:rPr>
          <w:b/>
          <w:color w:val="2E74B5"/>
          <w:sz w:val="22"/>
        </w:rPr>
      </w:pPr>
    </w:p>
    <w:p w14:paraId="23307920" w14:textId="77777777" w:rsidR="00FF7BC5" w:rsidRDefault="00FF7BC5">
      <w:pPr>
        <w:spacing w:before="120" w:after="40"/>
        <w:rPr>
          <w:b/>
          <w:color w:val="2E74B5"/>
          <w:sz w:val="22"/>
        </w:rPr>
      </w:pPr>
    </w:p>
    <w:p w14:paraId="640CEE4D" w14:textId="4CCE58C6" w:rsidR="00DE694A" w:rsidRDefault="00000000">
      <w:pPr>
        <w:spacing w:before="120" w:after="40"/>
      </w:pPr>
      <w:r>
        <w:rPr>
          <w:b/>
          <w:color w:val="2E74B5"/>
          <w:sz w:val="22"/>
        </w:rPr>
        <w:lastRenderedPageBreak/>
        <w:t>6.3 Revenue</w:t>
      </w:r>
    </w:p>
    <w:p w14:paraId="5F1EE726" w14:textId="77777777" w:rsidR="00DE694A" w:rsidRDefault="00000000">
      <w:pPr>
        <w:pStyle w:val="ListBullet"/>
        <w:spacing w:after="20"/>
      </w:pPr>
      <w:r>
        <w:t>Total platform revenue from the 10,000-order sample: approximately $12.09 million.</w:t>
      </w:r>
    </w:p>
    <w:p w14:paraId="3F967B37" w14:textId="77777777" w:rsidR="00DE694A" w:rsidRDefault="00000000">
      <w:pPr>
        <w:pStyle w:val="ListBullet"/>
        <w:spacing w:after="20"/>
      </w:pPr>
      <w:r>
        <w:t>Average order value (AOV): approximately $1,209.</w:t>
      </w:r>
    </w:p>
    <w:p w14:paraId="0B01C1BA" w14:textId="77777777" w:rsidR="00DE694A" w:rsidRDefault="00000000">
      <w:pPr>
        <w:pStyle w:val="ListBullet"/>
        <w:spacing w:after="20"/>
      </w:pPr>
      <w:r>
        <w:t>Monthly revenue tracks monthly order volume closely — spend per order is consistent over time.</w:t>
      </w:r>
    </w:p>
    <w:p w14:paraId="5D71C0C1" w14:textId="77777777" w:rsidR="00DE694A" w:rsidRDefault="00000000">
      <w:pPr>
        <w:spacing w:before="200" w:after="60"/>
      </w:pPr>
      <w:r>
        <w:rPr>
          <w:b/>
          <w:color w:val="1F497D"/>
          <w:sz w:val="26"/>
        </w:rPr>
        <w:t>7. Customer Satisfaction</w:t>
      </w:r>
    </w:p>
    <w:p w14:paraId="6FFC9130" w14:textId="77777777" w:rsidR="00DE694A" w:rsidRDefault="00000000">
      <w:pPr>
        <w:spacing w:before="120" w:after="40"/>
      </w:pPr>
      <w:r>
        <w:rPr>
          <w:b/>
          <w:color w:val="2E74B5"/>
          <w:sz w:val="22"/>
        </w:rPr>
        <w:t>7.1 Review Scores</w:t>
      </w:r>
    </w:p>
    <w:p w14:paraId="475ADFEA" w14:textId="77777777" w:rsidR="00DE694A" w:rsidRDefault="00000000">
      <w:pPr>
        <w:pStyle w:val="ListBullet"/>
        <w:spacing w:after="20"/>
      </w:pPr>
      <w:r>
        <w:t>Average review score: 4.05 / 5.0 across 9,332 reviewed orders.</w:t>
      </w:r>
    </w:p>
    <w:p w14:paraId="044CE90E" w14:textId="77777777" w:rsidR="00DE694A" w:rsidRDefault="00000000">
      <w:pPr>
        <w:pStyle w:val="ListBullet"/>
        <w:spacing w:after="20"/>
      </w:pPr>
      <w:r>
        <w:t>Score distribution skews toward 4–5 stars; 1–2 star reviews are a minority but warrant attention.</w:t>
      </w:r>
    </w:p>
    <w:p w14:paraId="159577C9" w14:textId="77777777" w:rsidR="00DE694A" w:rsidRDefault="00000000">
      <w:pPr>
        <w:spacing w:before="120" w:after="40"/>
      </w:pPr>
      <w:r>
        <w:rPr>
          <w:b/>
          <w:color w:val="2E74B5"/>
          <w:sz w:val="22"/>
        </w:rPr>
        <w:t>7.2 Satisfaction vs. Delivery Speed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448"/>
        <w:gridCol w:w="2592"/>
      </w:tblGrid>
      <w:tr w:rsidR="00DE694A" w14:paraId="002CC8E4" w14:textId="77777777">
        <w:tc>
          <w:tcPr>
            <w:tcW w:w="2160" w:type="dxa"/>
            <w:shd w:val="clear" w:color="auto" w:fill="1F497D"/>
          </w:tcPr>
          <w:p w14:paraId="22210841" w14:textId="77777777" w:rsidR="00DE694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Delivery Speed</w:t>
            </w:r>
          </w:p>
        </w:tc>
        <w:tc>
          <w:tcPr>
            <w:tcW w:w="2448" w:type="dxa"/>
            <w:shd w:val="clear" w:color="auto" w:fill="1F497D"/>
          </w:tcPr>
          <w:p w14:paraId="68465BDC" w14:textId="77777777" w:rsidR="00DE694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Delivery Window</w:t>
            </w:r>
          </w:p>
        </w:tc>
        <w:tc>
          <w:tcPr>
            <w:tcW w:w="2592" w:type="dxa"/>
            <w:shd w:val="clear" w:color="auto" w:fill="1F497D"/>
          </w:tcPr>
          <w:p w14:paraId="6E3EF43D" w14:textId="77777777" w:rsidR="00DE694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Avg Review Score</w:t>
            </w:r>
          </w:p>
        </w:tc>
      </w:tr>
      <w:tr w:rsidR="00DE694A" w14:paraId="72C7B8C7" w14:textId="77777777">
        <w:tc>
          <w:tcPr>
            <w:tcW w:w="2160" w:type="dxa"/>
          </w:tcPr>
          <w:p w14:paraId="512388B3" w14:textId="77777777" w:rsidR="00DE694A" w:rsidRDefault="00000000">
            <w:r>
              <w:rPr>
                <w:sz w:val="19"/>
              </w:rPr>
              <w:t>Fast</w:t>
            </w:r>
          </w:p>
        </w:tc>
        <w:tc>
          <w:tcPr>
            <w:tcW w:w="2448" w:type="dxa"/>
          </w:tcPr>
          <w:p w14:paraId="5B402BDF" w14:textId="77777777" w:rsidR="00DE694A" w:rsidRDefault="00000000">
            <w:r>
              <w:rPr>
                <w:sz w:val="19"/>
              </w:rPr>
              <w:t>&lt; 5 days</w:t>
            </w:r>
          </w:p>
        </w:tc>
        <w:tc>
          <w:tcPr>
            <w:tcW w:w="2592" w:type="dxa"/>
          </w:tcPr>
          <w:p w14:paraId="47DFE101" w14:textId="77777777" w:rsidR="00DE694A" w:rsidRDefault="00000000">
            <w:r>
              <w:rPr>
                <w:sz w:val="19"/>
              </w:rPr>
              <w:t>~4.3</w:t>
            </w:r>
          </w:p>
        </w:tc>
      </w:tr>
      <w:tr w:rsidR="00DE694A" w14:paraId="3A3D5924" w14:textId="77777777">
        <w:tc>
          <w:tcPr>
            <w:tcW w:w="2160" w:type="dxa"/>
            <w:shd w:val="clear" w:color="auto" w:fill="EBF3FB"/>
          </w:tcPr>
          <w:p w14:paraId="7308AD31" w14:textId="77777777" w:rsidR="00DE694A" w:rsidRDefault="00000000">
            <w:r>
              <w:rPr>
                <w:sz w:val="19"/>
              </w:rPr>
              <w:t>Medium</w:t>
            </w:r>
          </w:p>
        </w:tc>
        <w:tc>
          <w:tcPr>
            <w:tcW w:w="2448" w:type="dxa"/>
            <w:shd w:val="clear" w:color="auto" w:fill="EBF3FB"/>
          </w:tcPr>
          <w:p w14:paraId="2EE9173B" w14:textId="77777777" w:rsidR="00DE694A" w:rsidRDefault="00000000">
            <w:r>
              <w:rPr>
                <w:sz w:val="19"/>
              </w:rPr>
              <w:t>5–10 days</w:t>
            </w:r>
          </w:p>
        </w:tc>
        <w:tc>
          <w:tcPr>
            <w:tcW w:w="2592" w:type="dxa"/>
            <w:shd w:val="clear" w:color="auto" w:fill="EBF3FB"/>
          </w:tcPr>
          <w:p w14:paraId="3F2CF199" w14:textId="77777777" w:rsidR="00DE694A" w:rsidRDefault="00000000">
            <w:r>
              <w:rPr>
                <w:sz w:val="19"/>
              </w:rPr>
              <w:t>~4.0</w:t>
            </w:r>
          </w:p>
        </w:tc>
      </w:tr>
      <w:tr w:rsidR="00DE694A" w14:paraId="5E72AF1D" w14:textId="77777777">
        <w:tc>
          <w:tcPr>
            <w:tcW w:w="2160" w:type="dxa"/>
          </w:tcPr>
          <w:p w14:paraId="5E919CC2" w14:textId="77777777" w:rsidR="00DE694A" w:rsidRDefault="00000000">
            <w:r>
              <w:rPr>
                <w:sz w:val="19"/>
              </w:rPr>
              <w:t>Slow</w:t>
            </w:r>
          </w:p>
        </w:tc>
        <w:tc>
          <w:tcPr>
            <w:tcW w:w="2448" w:type="dxa"/>
          </w:tcPr>
          <w:p w14:paraId="1337A0C9" w14:textId="77777777" w:rsidR="00DE694A" w:rsidRDefault="00000000">
            <w:r>
              <w:rPr>
                <w:sz w:val="19"/>
              </w:rPr>
              <w:t>&gt; 10 days</w:t>
            </w:r>
          </w:p>
        </w:tc>
        <w:tc>
          <w:tcPr>
            <w:tcW w:w="2592" w:type="dxa"/>
          </w:tcPr>
          <w:p w14:paraId="581FFE7C" w14:textId="77777777" w:rsidR="00DE694A" w:rsidRDefault="00000000">
            <w:r>
              <w:rPr>
                <w:sz w:val="19"/>
              </w:rPr>
              <w:t>~3.6</w:t>
            </w:r>
          </w:p>
        </w:tc>
      </w:tr>
    </w:tbl>
    <w:p w14:paraId="70B4E418" w14:textId="77777777" w:rsidR="00DE694A" w:rsidRDefault="00DE694A"/>
    <w:p w14:paraId="669F5085" w14:textId="77777777" w:rsidR="00DE694A" w:rsidRDefault="00000000">
      <w:pPr>
        <w:pStyle w:val="ListBullet"/>
        <w:spacing w:after="20"/>
      </w:pPr>
      <w:r>
        <w:t>Faster delivery correlates directly with higher satisfaction scores.</w:t>
      </w:r>
    </w:p>
    <w:p w14:paraId="08E0FC6D" w14:textId="77777777" w:rsidR="00DE694A" w:rsidRDefault="00000000">
      <w:pPr>
        <w:pStyle w:val="ListBullet"/>
        <w:spacing w:after="20"/>
      </w:pPr>
      <w:r>
        <w:t>Logistics speed is the primary lever for improving customer ratings.</w:t>
      </w:r>
    </w:p>
    <w:p w14:paraId="3A40899C" w14:textId="77777777" w:rsidR="00DE694A" w:rsidRDefault="00000000">
      <w:pPr>
        <w:spacing w:before="200" w:after="60"/>
      </w:pPr>
      <w:r>
        <w:rPr>
          <w:b/>
          <w:color w:val="1F497D"/>
          <w:sz w:val="26"/>
        </w:rPr>
        <w:t>8. Key EDA Takeaways</w:t>
      </w:r>
    </w:p>
    <w:p w14:paraId="58EBFF5C" w14:textId="77777777" w:rsidR="00DE694A" w:rsidRDefault="00000000">
      <w:pPr>
        <w:pStyle w:val="ListBullet"/>
        <w:spacing w:after="20"/>
      </w:pPr>
      <w:r>
        <w:t>Geographic concentration in CA/TX/FL creates both scale advantage and dependency risk.</w:t>
      </w:r>
    </w:p>
    <w:p w14:paraId="70B05685" w14:textId="77777777" w:rsidR="00DE694A" w:rsidRDefault="00000000">
      <w:pPr>
        <w:pStyle w:val="ListBullet"/>
        <w:spacing w:after="20"/>
      </w:pPr>
      <w:r>
        <w:t>Electronics dominance (38.6%) leaves the platform exposed to a single-category slowdown.</w:t>
      </w:r>
    </w:p>
    <w:p w14:paraId="37F40DF3" w14:textId="77777777" w:rsidR="00DE694A" w:rsidRDefault="00000000">
      <w:pPr>
        <w:pStyle w:val="ListBullet"/>
        <w:spacing w:after="20"/>
      </w:pPr>
      <w:r>
        <w:t>Strong delivery execution (90.4% on-time) is a competitive asset worth maintaining.</w:t>
      </w:r>
    </w:p>
    <w:p w14:paraId="28C7F0D4" w14:textId="77777777" w:rsidR="00DE694A" w:rsidRDefault="00000000">
      <w:pPr>
        <w:pStyle w:val="ListBullet"/>
        <w:spacing w:after="20"/>
      </w:pPr>
      <w:r>
        <w:t>Installment usage (54%) signals price sensitivity — removing financing options would likely reduce conversion.</w:t>
      </w:r>
    </w:p>
    <w:p w14:paraId="196ECEC8" w14:textId="77777777" w:rsidR="00DE694A" w:rsidRDefault="00000000">
      <w:pPr>
        <w:pStyle w:val="ListBullet"/>
        <w:spacing w:after="20"/>
      </w:pPr>
      <w:r>
        <w:t>21% repeat rate is a starting point; the VIP segment (9.8%) is the retention anchor to grow.</w:t>
      </w:r>
    </w:p>
    <w:sectPr w:rsidR="00DE694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671196">
    <w:abstractNumId w:val="8"/>
  </w:num>
  <w:num w:numId="2" w16cid:durableId="1724138461">
    <w:abstractNumId w:val="6"/>
  </w:num>
  <w:num w:numId="3" w16cid:durableId="768156169">
    <w:abstractNumId w:val="5"/>
  </w:num>
  <w:num w:numId="4" w16cid:durableId="1651864537">
    <w:abstractNumId w:val="4"/>
  </w:num>
  <w:num w:numId="5" w16cid:durableId="712971720">
    <w:abstractNumId w:val="7"/>
  </w:num>
  <w:num w:numId="6" w16cid:durableId="367729092">
    <w:abstractNumId w:val="3"/>
  </w:num>
  <w:num w:numId="7" w16cid:durableId="1926377871">
    <w:abstractNumId w:val="2"/>
  </w:num>
  <w:num w:numId="8" w16cid:durableId="1297568587">
    <w:abstractNumId w:val="1"/>
  </w:num>
  <w:num w:numId="9" w16cid:durableId="183810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3D8"/>
    <w:rsid w:val="008A5D89"/>
    <w:rsid w:val="00AA1D8D"/>
    <w:rsid w:val="00B47730"/>
    <w:rsid w:val="00CB0664"/>
    <w:rsid w:val="00DE694A"/>
    <w:rsid w:val="00FC693F"/>
    <w:rsid w:val="00FF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44751F"/>
  <w14:defaultImageDpi w14:val="300"/>
  <w15:docId w15:val="{E4E00617-C412-4509-A2DD-9A1350D6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Sekar</cp:lastModifiedBy>
  <cp:revision>2</cp:revision>
  <dcterms:created xsi:type="dcterms:W3CDTF">2013-12-23T23:15:00Z</dcterms:created>
  <dcterms:modified xsi:type="dcterms:W3CDTF">2026-06-23T12:57:00Z</dcterms:modified>
  <cp:category/>
</cp:coreProperties>
</file>