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40"/>
        </w:rPr>
        <w:t>E-Commerce US Dataset Analysis</w:t>
      </w:r>
    </w:p>
    <w:p/>
    <w:p>
      <w:pPr>
        <w:jc w:val="center"/>
      </w:pPr>
      <w:r>
        <w:rPr>
          <w:b/>
          <w:color w:val="262626"/>
          <w:sz w:val="30"/>
        </w:rPr>
        <w:t>Report 7: Business Insights and Recommendations</w:t>
      </w:r>
    </w:p>
    <w:p/>
    <w:p/>
    <w:p>
      <w:pPr>
        <w:jc w:val="center"/>
      </w:pPr>
      <w:r>
        <w:rPr>
          <w:color w:val="44474A"/>
          <w:sz w:val="24"/>
        </w:rPr>
        <w:t>Nithish  |  AI/ML Engineer</w:t>
      </w:r>
    </w:p>
    <w:p>
      <w:r>
        <w:br w:type="page"/>
      </w:r>
    </w:p>
    <w:p>
      <w:pPr>
        <w:spacing w:before="200" w:after="60"/>
      </w:pPr>
      <w:r>
        <w:rPr>
          <w:b/>
          <w:color w:val="1F497D"/>
          <w:sz w:val="26"/>
        </w:rPr>
        <w:t>1. Revenue Summary</w:t>
      </w:r>
    </w:p>
    <w:p>
      <w:pPr>
        <w:pStyle w:val="ListBullet"/>
        <w:spacing w:after="20"/>
      </w:pPr>
      <w:r>
        <w:rPr>
          <w:sz w:val="21"/>
        </w:rPr>
        <w:t>Total revenue from the 10,000-order sample: approximately $12.09 million.</w:t>
      </w:r>
    </w:p>
    <w:p>
      <w:pPr>
        <w:pStyle w:val="ListBullet"/>
        <w:spacing w:after="20"/>
      </w:pPr>
      <w:r>
        <w:rPr>
          <w:sz w:val="21"/>
        </w:rPr>
        <w:t>Average order value (AOV): $1,209.</w:t>
      </w:r>
    </w:p>
    <w:p>
      <w:pPr>
        <w:pStyle w:val="ListBullet"/>
        <w:spacing w:after="20"/>
      </w:pPr>
      <w:r>
        <w:rPr>
          <w:sz w:val="21"/>
        </w:rPr>
        <w:t>Top 3 revenue-generating states (CA, TX, FL) drive 57% of total revenue.</w:t>
      </w:r>
    </w:p>
    <w:p>
      <w:pPr>
        <w:pStyle w:val="ListBullet"/>
        <w:spacing w:after="20"/>
      </w:pPr>
      <w:r>
        <w:rPr>
          <w:sz w:val="21"/>
        </w:rPr>
        <w:t>Electronics category alone accounts for 38.6% of item volume — the single largest revenue driver.</w:t>
      </w:r>
    </w:p>
    <w:p>
      <w:pPr>
        <w:spacing w:before="200" w:after="60"/>
      </w:pPr>
      <w:r>
        <w:rPr>
          <w:b/>
          <w:color w:val="1F497D"/>
          <w:sz w:val="26"/>
        </w:rPr>
        <w:t>2. Customer Insights</w:t>
      </w:r>
    </w:p>
    <w:p>
      <w:pPr>
        <w:spacing w:before="120" w:after="40"/>
      </w:pPr>
      <w:r>
        <w:rPr>
          <w:b/>
          <w:color w:val="2E74B5"/>
          <w:sz w:val="22"/>
        </w:rPr>
        <w:t>2.1 Repeat Purchase Behavior</w:t>
      </w:r>
    </w:p>
    <w:p>
      <w:pPr>
        <w:pStyle w:val="ListBullet"/>
        <w:spacing w:after="20"/>
      </w:pPr>
      <w:r>
        <w:rPr>
          <w:sz w:val="21"/>
        </w:rPr>
        <w:t>21% of customers placed more than one order.</w:t>
      </w:r>
    </w:p>
    <w:p>
      <w:pPr>
        <w:pStyle w:val="ListBullet"/>
        <w:spacing w:after="20"/>
      </w:pPr>
      <w:r>
        <w:rPr>
          <w:sz w:val="21"/>
        </w:rPr>
        <w:t>Repeat customers generate a disproportionate share of revenue relative to their headcount.</w:t>
      </w:r>
    </w:p>
    <w:p>
      <w:pPr>
        <w:pStyle w:val="ListBullet"/>
        <w:spacing w:after="20"/>
      </w:pPr>
      <w:r>
        <w:rPr>
          <w:sz w:val="21"/>
        </w:rPr>
        <w:t>VIP segment (9.8% of customers) is the retention-critical group to monitor and invest in.</w:t>
      </w:r>
    </w:p>
    <w:p>
      <w:pPr>
        <w:spacing w:before="120" w:after="40"/>
      </w:pPr>
      <w:r>
        <w:rPr>
          <w:b/>
          <w:color w:val="2E74B5"/>
          <w:sz w:val="22"/>
        </w:rPr>
        <w:t>2.2 Segment Behavior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11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Share</w:t>
            </w:r>
          </w:p>
        </w:tc>
        <w:tc>
          <w:tcPr>
            <w:tcW w:type="dxa" w:w="63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Behavior Profile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Consumer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69.8%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High volume, lower individual order values; price-sensitive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19"/>
              </w:rPr>
              <w:t>Corporate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9"/>
              </w:rPr>
              <w:t>20.5%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sz w:val="19"/>
              </w:rPr>
              <w:t>Larger basket sizes; likely buying for teams or business use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VIP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9.8%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Highest spend; strong review engagement; highest repeat rate</w:t>
            </w:r>
          </w:p>
        </w:tc>
      </w:tr>
    </w:tbl>
    <w:p/>
    <w:p>
      <w:pPr>
        <w:spacing w:before="120" w:after="40"/>
      </w:pPr>
      <w:r>
        <w:rPr>
          <w:b/>
          <w:color w:val="2E74B5"/>
          <w:sz w:val="22"/>
        </w:rPr>
        <w:t>2.3 Demographic Profile</w:t>
      </w:r>
    </w:p>
    <w:p>
      <w:pPr>
        <w:pStyle w:val="ListBullet"/>
        <w:spacing w:after="20"/>
      </w:pPr>
      <w:r>
        <w:rPr>
          <w:sz w:val="21"/>
        </w:rPr>
        <w:t>Core buying demographic: women aged 35–55 in CA, TX, and FL.</w:t>
      </w:r>
    </w:p>
    <w:p>
      <w:pPr>
        <w:pStyle w:val="ListBullet"/>
        <w:spacing w:after="20"/>
      </w:pPr>
      <w:r>
        <w:rPr>
          <w:sz w:val="21"/>
        </w:rPr>
        <w:t>Male buyers (35.7%) skew toward Electronics; female buyers (64.3%) spread across all categories.</w:t>
      </w:r>
    </w:p>
    <w:p>
      <w:pPr>
        <w:spacing w:before="200" w:after="60"/>
      </w:pPr>
      <w:r>
        <w:rPr>
          <w:b/>
          <w:color w:val="1F497D"/>
          <w:sz w:val="26"/>
        </w:rPr>
        <w:t>3. Product Insights</w:t>
      </w:r>
    </w:p>
    <w:p>
      <w:pPr>
        <w:spacing w:before="120" w:after="40"/>
      </w:pPr>
      <w:r>
        <w:rPr>
          <w:b/>
          <w:color w:val="2E74B5"/>
          <w:sz w:val="22"/>
        </w:rPr>
        <w:t>3.1 Category Concentration Risk</w:t>
      </w:r>
    </w:p>
    <w:p>
      <w:pPr>
        <w:pStyle w:val="ListBullet"/>
        <w:spacing w:after="20"/>
      </w:pPr>
      <w:r>
        <w:rPr>
          <w:sz w:val="21"/>
        </w:rPr>
        <w:t>Electronics (38.6% of items) creates single-category dependency.</w:t>
      </w:r>
    </w:p>
    <w:p>
      <w:pPr>
        <w:pStyle w:val="ListBullet"/>
        <w:spacing w:after="20"/>
      </w:pPr>
      <w:r>
        <w:rPr>
          <w:sz w:val="21"/>
        </w:rPr>
        <w:t>Fashion (20%) and Books (14.5%) are growing categories with room to expand SKU depth.</w:t>
      </w:r>
    </w:p>
    <w:p>
      <w:pPr>
        <w:pStyle w:val="ListBullet"/>
        <w:spacing w:after="20"/>
      </w:pPr>
      <w:r>
        <w:rPr>
          <w:sz w:val="21"/>
        </w:rPr>
        <w:t>Home Goods, Auto, Furniture, and Toys each sit below 8% — underpenetrated relative to market demand.</w:t>
      </w:r>
    </w:p>
    <w:p>
      <w:pPr>
        <w:spacing w:before="120" w:after="40"/>
      </w:pPr>
      <w:r>
        <w:rPr>
          <w:b/>
          <w:color w:val="2E74B5"/>
          <w:sz w:val="22"/>
        </w:rPr>
        <w:t>3.2 Pricing Tiers</w:t>
      </w:r>
    </w:p>
    <w:p>
      <w:pPr>
        <w:pStyle w:val="ListBullet"/>
        <w:spacing w:after="20"/>
      </w:pPr>
      <w:r>
        <w:rPr>
          <w:sz w:val="21"/>
        </w:rPr>
        <w:t>Mainstream tier ($100–$500): highest volume, strongest conversion.</w:t>
      </w:r>
    </w:p>
    <w:p>
      <w:pPr>
        <w:pStyle w:val="ListBullet"/>
        <w:spacing w:after="20"/>
      </w:pPr>
      <w:r>
        <w:rPr>
          <w:sz w:val="21"/>
        </w:rPr>
        <w:t>Premium tier (&gt;$1,746): 4% of items; higher margin but slower turnover.</w:t>
      </w:r>
    </w:p>
    <w:p>
      <w:pPr>
        <w:pStyle w:val="ListBullet"/>
        <w:spacing w:after="20"/>
      </w:pPr>
      <w:r>
        <w:rPr>
          <w:sz w:val="21"/>
        </w:rPr>
        <w:t>Cost-to-price data available for all products — margin analysis by category is feasible.</w:t>
      </w:r>
    </w:p>
    <w:p>
      <w:pPr>
        <w:spacing w:before="200" w:after="60"/>
      </w:pPr>
      <w:r>
        <w:rPr>
          <w:b/>
          <w:color w:val="1F497D"/>
          <w:sz w:val="26"/>
        </w:rPr>
        <w:t>4. Seller Insights</w:t>
      </w:r>
    </w:p>
    <w:p>
      <w:pPr>
        <w:spacing w:before="120" w:after="40"/>
      </w:pPr>
      <w:r>
        <w:rPr>
          <w:b/>
          <w:color w:val="2E74B5"/>
          <w:sz w:val="22"/>
        </w:rPr>
        <w:t>4.1 Revenue Concentration</w:t>
      </w:r>
    </w:p>
    <w:p>
      <w:pPr>
        <w:pStyle w:val="ListBullet"/>
        <w:spacing w:after="20"/>
      </w:pPr>
      <w:r>
        <w:rPr>
          <w:sz w:val="21"/>
        </w:rPr>
        <w:t>72% of sellers (362 out of 500) generate 80% of total revenue.</w:t>
      </w:r>
    </w:p>
    <w:p>
      <w:pPr>
        <w:pStyle w:val="ListBullet"/>
        <w:spacing w:after="20"/>
      </w:pPr>
      <w:r>
        <w:rPr>
          <w:sz w:val="21"/>
        </w:rPr>
        <w:t>28% of sellers (138) share the remaining 20% of revenue — low contribution and low growth signal.</w:t>
      </w:r>
    </w:p>
    <w:p>
      <w:pPr>
        <w:pStyle w:val="ListBullet"/>
        <w:spacing w:after="20"/>
      </w:pPr>
      <w:r>
        <w:rPr>
          <w:sz w:val="21"/>
        </w:rPr>
        <w:t>Top seller significantly outpaces all others — platform has single-seller concentration risk.</w:t>
      </w:r>
    </w:p>
    <w:p>
      <w:pPr>
        <w:spacing w:before="120" w:after="40"/>
      </w:pPr>
      <w:r>
        <w:rPr>
          <w:b/>
          <w:color w:val="2E74B5"/>
          <w:sz w:val="22"/>
        </w:rPr>
        <w:t>4.2 Geographic Alignment</w:t>
      </w:r>
    </w:p>
    <w:p>
      <w:pPr>
        <w:pStyle w:val="ListBullet"/>
        <w:spacing w:after="20"/>
      </w:pPr>
      <w:r>
        <w:rPr>
          <w:sz w:val="21"/>
        </w:rPr>
        <w:t>Seller locations mirror buyer locations in CA, TX, and NY.</w:t>
      </w:r>
    </w:p>
    <w:p>
      <w:pPr>
        <w:pStyle w:val="ListBullet"/>
        <w:spacing w:after="20"/>
      </w:pPr>
      <w:r>
        <w:rPr>
          <w:sz w:val="21"/>
        </w:rPr>
        <w:t>Strong demand-supply geographic overlap reduces shipping times and freight costs.</w:t>
      </w:r>
    </w:p>
    <w:p>
      <w:pPr>
        <w:spacing w:before="200" w:after="60"/>
      </w:pPr>
      <w:r>
        <w:rPr>
          <w:b/>
          <w:color w:val="1F497D"/>
          <w:sz w:val="26"/>
        </w:rPr>
        <w:t>5. Operational Insights</w:t>
      </w:r>
    </w:p>
    <w:p>
      <w:pPr>
        <w:spacing w:before="120" w:after="40"/>
      </w:pPr>
      <w:r>
        <w:rPr>
          <w:b/>
          <w:color w:val="2E74B5"/>
          <w:sz w:val="22"/>
        </w:rPr>
        <w:t>5.1 Delivery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Delivered orders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93.3% (9,332)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9"/>
              </w:rPr>
              <w:t>Canceled orders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9"/>
              </w:rPr>
              <w:t>6.7% (668)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On-time delivery rate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90.4%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19"/>
              </w:rPr>
              <w:t>Average delivery time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9"/>
              </w:rPr>
              <w:t>7.5 days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Late delivery rate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9.6%</w:t>
            </w:r>
          </w:p>
        </w:tc>
      </w:tr>
    </w:tbl>
    <w:p/>
    <w:p>
      <w:pPr>
        <w:pStyle w:val="ListBullet"/>
        <w:spacing w:after="20"/>
      </w:pPr>
      <w:r>
        <w:rPr>
          <w:sz w:val="21"/>
        </w:rPr>
        <w:t>On-time delivery (90.4%) is the primary driver of positive reviews — protecting it is a business priority.</w:t>
      </w:r>
    </w:p>
    <w:p>
      <w:pPr>
        <w:pStyle w:val="ListBullet"/>
        <w:spacing w:after="20"/>
      </w:pPr>
      <w:r>
        <w:rPr>
          <w:sz w:val="21"/>
        </w:rPr>
        <w:t>The 9.6% late delivery rate links directly to the lower review scores (~3.6 avg for slow orders).</w:t>
      </w:r>
    </w:p>
    <w:p>
      <w:pPr>
        <w:spacing w:before="120" w:after="40"/>
      </w:pPr>
      <w:r>
        <w:rPr>
          <w:b/>
          <w:color w:val="2E74B5"/>
          <w:sz w:val="22"/>
        </w:rPr>
        <w:t>5.2 Review Satisfaction</w:t>
      </w:r>
    </w:p>
    <w:p>
      <w:pPr>
        <w:pStyle w:val="ListBullet"/>
        <w:spacing w:after="20"/>
      </w:pPr>
      <w:r>
        <w:rPr>
          <w:sz w:val="21"/>
        </w:rPr>
        <w:t>Overall avg review score: 4.05/5.</w:t>
      </w:r>
    </w:p>
    <w:p>
      <w:pPr>
        <w:pStyle w:val="ListBullet"/>
        <w:spacing w:after="20"/>
      </w:pPr>
      <w:r>
        <w:rPr>
          <w:sz w:val="21"/>
        </w:rPr>
        <w:t>Fast deliveries (&lt;5 days) average 4.3 stars; slow deliveries (&gt;10 days) average 3.6 stars.</w:t>
      </w:r>
    </w:p>
    <w:p>
      <w:pPr>
        <w:pStyle w:val="ListBullet"/>
        <w:spacing w:after="20"/>
      </w:pPr>
      <w:r>
        <w:rPr>
          <w:sz w:val="21"/>
        </w:rPr>
        <w:t>Investment in logistics speed has a quantifiable payoff in customer rating.</w:t>
      </w:r>
    </w:p>
    <w:p>
      <w:pPr>
        <w:spacing w:before="200" w:after="60"/>
      </w:pPr>
      <w:r>
        <w:rPr>
          <w:b/>
          <w:color w:val="1F497D"/>
          <w:sz w:val="26"/>
        </w:rPr>
        <w:t>6. Payment Insights</w:t>
      </w:r>
    </w:p>
    <w:p>
      <w:pPr>
        <w:pStyle w:val="ListBullet"/>
        <w:spacing w:after="20"/>
      </w:pPr>
      <w:r>
        <w:rPr>
          <w:sz w:val="21"/>
        </w:rPr>
        <w:t>Credit card is the dominant payment method (50.3%) — supports both single and installment payments.</w:t>
      </w:r>
    </w:p>
    <w:p>
      <w:pPr>
        <w:pStyle w:val="ListBullet"/>
        <w:spacing w:after="20"/>
      </w:pPr>
      <w:r>
        <w:rPr>
          <w:sz w:val="21"/>
        </w:rPr>
        <w:t>54% of orders use installments — deferred payments are enabling order completion, especially for Electronics.</w:t>
      </w:r>
    </w:p>
    <w:p>
      <w:pPr>
        <w:pStyle w:val="ListBullet"/>
        <w:spacing w:after="20"/>
      </w:pPr>
      <w:r>
        <w:rPr>
          <w:sz w:val="21"/>
        </w:rPr>
        <w:t>Apple Pay at 8.6% signals a growing mobile-first buyer segment worth tracking.</w:t>
      </w:r>
    </w:p>
    <w:p>
      <w:pPr>
        <w:pStyle w:val="ListBullet"/>
        <w:spacing w:after="20"/>
      </w:pPr>
      <w:r>
        <w:rPr>
          <w:sz w:val="21"/>
        </w:rPr>
        <w:t>Boleto (2.5%) is the smallest method — may be a legacy channel with declining relevance.</w:t>
      </w:r>
    </w:p>
    <w:p>
      <w:pPr>
        <w:spacing w:before="200" w:after="60"/>
      </w:pPr>
      <w:r>
        <w:rPr>
          <w:b/>
          <w:color w:val="1F497D"/>
          <w:sz w:val="26"/>
        </w:rPr>
        <w:t>7. Recommendations</w:t>
      </w:r>
    </w:p>
    <w:p>
      <w:pPr>
        <w:spacing w:before="120" w:after="40"/>
      </w:pPr>
      <w:r>
        <w:rPr>
          <w:b/>
          <w:color w:val="2E74B5"/>
          <w:sz w:val="22"/>
        </w:rPr>
        <w:t>7.1 Geographic Expansion</w:t>
      </w:r>
    </w:p>
    <w:p>
      <w:pPr>
        <w:pStyle w:val="ListBullet"/>
        <w:spacing w:after="20"/>
      </w:pPr>
      <w:r>
        <w:rPr>
          <w:sz w:val="21"/>
        </w:rPr>
        <w:t>CO, WA, and AZ each account for less than 3% of orders despite having major metro populations.</w:t>
      </w:r>
    </w:p>
    <w:p>
      <w:pPr>
        <w:pStyle w:val="ListBullet"/>
        <w:spacing w:after="20"/>
      </w:pPr>
      <w:r>
        <w:rPr>
          <w:sz w:val="21"/>
        </w:rPr>
        <w:t>Targeted marketing in Denver, Seattle, and Phoenix represents a low-risk growth play.</w:t>
      </w:r>
    </w:p>
    <w:p>
      <w:pPr>
        <w:pStyle w:val="ListBullet"/>
        <w:spacing w:after="20"/>
      </w:pPr>
      <w:r>
        <w:rPr>
          <w:sz w:val="21"/>
        </w:rPr>
        <w:t>Consider seller recruitment in underserved states to reduce freight distance and delivery time.</w:t>
      </w:r>
    </w:p>
    <w:p>
      <w:pPr>
        <w:spacing w:before="120" w:after="40"/>
      </w:pPr>
      <w:r>
        <w:rPr>
          <w:b/>
          <w:color w:val="2E74B5"/>
          <w:sz w:val="22"/>
        </w:rPr>
        <w:t>7.2 Category Diversification</w:t>
      </w:r>
    </w:p>
    <w:p>
      <w:pPr>
        <w:pStyle w:val="ListBullet"/>
        <w:spacing w:after="20"/>
      </w:pPr>
      <w:r>
        <w:rPr>
          <w:sz w:val="21"/>
        </w:rPr>
        <w:t>Reduce revenue dependency on Electronics by deepening Fashion and Home Goods catalogs.</w:t>
      </w:r>
    </w:p>
    <w:p>
      <w:pPr>
        <w:pStyle w:val="ListBullet"/>
        <w:spacing w:after="20"/>
      </w:pPr>
      <w:r>
        <w:rPr>
          <w:sz w:val="21"/>
        </w:rPr>
        <w:t>Expand Books SKU selection — stable demand (14.5%) with low return rates typical in this category.</w:t>
      </w:r>
    </w:p>
    <w:p>
      <w:pPr>
        <w:pStyle w:val="ListBullet"/>
        <w:spacing w:after="20"/>
      </w:pPr>
      <w:r>
        <w:rPr>
          <w:sz w:val="21"/>
        </w:rPr>
        <w:t>Run cross-category promotions to introduce Electronics buyers to Furniture and Home Goods.</w:t>
      </w:r>
    </w:p>
    <w:p>
      <w:pPr>
        <w:spacing w:before="120" w:after="40"/>
      </w:pPr>
      <w:r>
        <w:rPr>
          <w:b/>
          <w:color w:val="2E74B5"/>
          <w:sz w:val="22"/>
        </w:rPr>
        <w:t>7.3 Seller Performance Program</w:t>
      </w:r>
    </w:p>
    <w:p>
      <w:pPr>
        <w:pStyle w:val="ListBullet"/>
        <w:spacing w:after="20"/>
      </w:pPr>
      <w:r>
        <w:rPr>
          <w:sz w:val="21"/>
        </w:rPr>
        <w:t>Introduce performance tiers with volume-based commission incentives for Top and Mid sellers.</w:t>
      </w:r>
    </w:p>
    <w:p>
      <w:pPr>
        <w:pStyle w:val="ListBullet"/>
        <w:spacing w:after="20"/>
      </w:pPr>
      <w:r>
        <w:rPr>
          <w:sz w:val="21"/>
        </w:rPr>
        <w:t>Provide bottom-tier sellers (28%) with tools or coaching to improve product listing quality and fulfillment speed.</w:t>
      </w:r>
    </w:p>
    <w:p>
      <w:pPr>
        <w:pStyle w:val="ListBullet"/>
        <w:spacing w:after="20"/>
      </w:pPr>
      <w:r>
        <w:rPr>
          <w:sz w:val="21"/>
        </w:rPr>
        <w:t>Investigate the 7 multi-brand sellers — they carry operational leverage but also concentration risk.</w:t>
      </w:r>
    </w:p>
    <w:p>
      <w:pPr>
        <w:spacing w:before="120" w:after="40"/>
      </w:pPr>
      <w:r>
        <w:rPr>
          <w:b/>
          <w:color w:val="2E74B5"/>
          <w:sz w:val="22"/>
        </w:rPr>
        <w:t>7.4 Customer Retention</w:t>
      </w:r>
    </w:p>
    <w:p>
      <w:pPr>
        <w:pStyle w:val="ListBullet"/>
        <w:spacing w:after="20"/>
      </w:pPr>
      <w:r>
        <w:rPr>
          <w:sz w:val="21"/>
        </w:rPr>
        <w:t>Build a loyalty program targeting the VIP segment (9.8% of customers, disproportionate revenue share).</w:t>
      </w:r>
    </w:p>
    <w:p>
      <w:pPr>
        <w:pStyle w:val="ListBullet"/>
        <w:spacing w:after="20"/>
      </w:pPr>
      <w:r>
        <w:rPr>
          <w:sz w:val="21"/>
        </w:rPr>
        <w:t>One-time buyers (79% of customer base) are a conversion opportunity — trigger re-engagement campaigns at 30/60/90 days post-order.</w:t>
      </w:r>
    </w:p>
    <w:p>
      <w:pPr>
        <w:pStyle w:val="ListBullet"/>
        <w:spacing w:after="20"/>
      </w:pPr>
      <w:r>
        <w:rPr>
          <w:sz w:val="21"/>
        </w:rPr>
        <w:t>Use engagement_score from customer_features.csv to prioritize outreach budgets.</w:t>
      </w:r>
    </w:p>
    <w:p>
      <w:pPr>
        <w:spacing w:before="120" w:after="40"/>
      </w:pPr>
      <w:r>
        <w:rPr>
          <w:b/>
          <w:color w:val="2E74B5"/>
          <w:sz w:val="22"/>
        </w:rPr>
        <w:t>7.5 Delivery Improvement</w:t>
      </w:r>
    </w:p>
    <w:p>
      <w:pPr>
        <w:pStyle w:val="ListBullet"/>
        <w:spacing w:after="20"/>
      </w:pPr>
      <w:r>
        <w:rPr>
          <w:sz w:val="21"/>
        </w:rPr>
        <w:t>Late deliveries (9.6%) concentrate in Slow delivery speed tier — investigate seller-level and region-level patterns.</w:t>
      </w:r>
    </w:p>
    <w:p>
      <w:pPr>
        <w:pStyle w:val="ListBullet"/>
        <w:spacing w:after="20"/>
      </w:pPr>
      <w:r>
        <w:rPr>
          <w:sz w:val="21"/>
        </w:rPr>
        <w:t>Set a short-term target to reduce late rate from 9.6% to under 7%.</w:t>
      </w:r>
    </w:p>
    <w:p>
      <w:pPr>
        <w:pStyle w:val="ListBullet"/>
        <w:spacing w:after="20"/>
      </w:pPr>
      <w:r>
        <w:rPr>
          <w:sz w:val="21"/>
        </w:rPr>
        <w:t>Share real-time delivery data with sellers to allow proactive intervention before the estimated date passes.</w:t>
      </w:r>
    </w:p>
    <w:p>
      <w:pPr>
        <w:spacing w:before="120" w:after="40"/>
      </w:pPr>
      <w:r>
        <w:rPr>
          <w:b/>
          <w:color w:val="2E74B5"/>
          <w:sz w:val="22"/>
        </w:rPr>
        <w:t>7.6 Payment Strategy</w:t>
      </w:r>
    </w:p>
    <w:p>
      <w:pPr>
        <w:pStyle w:val="ListBullet"/>
        <w:spacing w:after="20"/>
      </w:pPr>
      <w:r>
        <w:rPr>
          <w:sz w:val="21"/>
        </w:rPr>
        <w:t>Protect installment payment options — 54% uptake shows they are material to order completion.</w:t>
      </w:r>
    </w:p>
    <w:p>
      <w:pPr>
        <w:pStyle w:val="ListBullet"/>
        <w:spacing w:after="20"/>
      </w:pPr>
      <w:r>
        <w:rPr>
          <w:sz w:val="21"/>
        </w:rPr>
        <w:t>Monitor Apple Pay and PayPal growth; ensure mobile checkout flows are optimized.</w:t>
      </w:r>
    </w:p>
    <w:p>
      <w:pPr>
        <w:pStyle w:val="ListBullet"/>
        <w:spacing w:after="20"/>
      </w:pPr>
      <w:r>
        <w:rPr>
          <w:sz w:val="21"/>
        </w:rPr>
        <w:t>Consider targeted voucher campaigns for Corporate segment to increase basket size.</w:t>
      </w:r>
    </w:p>
    <w:p>
      <w:pPr>
        <w:spacing w:before="200" w:after="60"/>
      </w:pPr>
      <w:r>
        <w:rPr>
          <w:b/>
          <w:color w:val="1F497D"/>
          <w:sz w:val="26"/>
        </w:rPr>
        <w:t>8. Modeling Opportunities</w:t>
      </w:r>
    </w:p>
    <w:p>
      <w:pPr>
        <w:pStyle w:val="ListBullet"/>
        <w:spacing w:after="20"/>
      </w:pPr>
      <w:r>
        <w:rPr>
          <w:sz w:val="21"/>
        </w:rPr>
        <w:t>Churn prediction: 79% one-time buyers; identify characteristics distinguishing repeaters from one-timers.</w:t>
      </w:r>
    </w:p>
    <w:p>
      <w:pPr>
        <w:pStyle w:val="ListBullet"/>
        <w:spacing w:after="20"/>
      </w:pPr>
      <w:r>
        <w:rPr>
          <w:sz w:val="21"/>
        </w:rPr>
        <w:t>Late delivery prediction: model delivery_delay using seller_tier, product_weight_g, delivery_speed, and customer_state.</w:t>
      </w:r>
    </w:p>
    <w:p>
      <w:pPr>
        <w:pStyle w:val="ListBullet"/>
        <w:spacing w:after="20"/>
      </w:pPr>
      <w:r>
        <w:rPr>
          <w:sz w:val="21"/>
        </w:rPr>
        <w:t>Price optimization: cost-to-price data available for all 2,000 SKUs; build margin-sensitivity models by category.</w:t>
      </w:r>
    </w:p>
    <w:p>
      <w:pPr>
        <w:pStyle w:val="ListBullet"/>
        <w:spacing w:after="20"/>
      </w:pPr>
      <w:r>
        <w:rPr>
          <w:sz w:val="21"/>
        </w:rPr>
        <w:t>Product recommendation: 10,000 orders across 2,000 products — sufficient for collaborative filtering baseline.</w:t>
      </w:r>
    </w:p>
    <w:p>
      <w:pPr>
        <w:pStyle w:val="ListBullet"/>
        <w:spacing w:after="20"/>
      </w:pPr>
      <w:r>
        <w:rPr>
          <w:sz w:val="21"/>
        </w:rPr>
        <w:t>Customer segmentation: engagement_score and value_tier are ready-made inputs for RFM-style clustering.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