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6AB8" w14:textId="698F8FE4" w:rsidR="00682650" w:rsidRPr="00682650" w:rsidRDefault="00682650" w:rsidP="00682650">
      <w:pPr>
        <w:jc w:val="center"/>
        <w:rPr>
          <w:b/>
          <w:bCs/>
          <w:sz w:val="28"/>
          <w:szCs w:val="28"/>
        </w:rPr>
      </w:pPr>
      <w:r w:rsidRPr="00682650">
        <w:rPr>
          <w:b/>
          <w:bCs/>
          <w:sz w:val="28"/>
          <w:szCs w:val="28"/>
        </w:rPr>
        <w:t>SALES ANALYSIS DASHBOARD</w:t>
      </w:r>
    </w:p>
    <w:p w14:paraId="4F972266" w14:textId="7FE0A5FA" w:rsidR="00682650" w:rsidRPr="00682650" w:rsidRDefault="00682650" w:rsidP="00682650">
      <w:pPr>
        <w:rPr>
          <w:b/>
          <w:bCs/>
        </w:rPr>
      </w:pPr>
      <w:r w:rsidRPr="00682650">
        <w:rPr>
          <w:b/>
          <w:bCs/>
        </w:rPr>
        <w:t>Project overview</w:t>
      </w:r>
    </w:p>
    <w:p w14:paraId="740F7D91" w14:textId="77777777" w:rsidR="00682650" w:rsidRDefault="00682650" w:rsidP="00682650">
      <w:pPr>
        <w:rPr>
          <w:rFonts w:ascii="Arial" w:hAnsi="Arial" w:cs="Arial"/>
        </w:rPr>
      </w:pPr>
      <w:r w:rsidRPr="00682650">
        <w:t>This Global Sales Performance dashboard is a UX</w:t>
      </w:r>
      <w:r w:rsidRPr="00682650">
        <w:noBreakHyphen/>
        <w:t>driven Power BI app that lets commercial leaders move seamlessly between high</w:t>
      </w:r>
      <w:r w:rsidRPr="00682650">
        <w:noBreakHyphen/>
        <w:t>level KPIs and detailed rankings of regions, resellers, and salespeople.</w:t>
      </w:r>
      <w:r w:rsidRPr="00682650">
        <w:rPr>
          <w:rFonts w:ascii="Arial" w:hAnsi="Arial" w:cs="Arial"/>
        </w:rPr>
        <w:t>​</w:t>
      </w:r>
      <w:r w:rsidRPr="00682650">
        <w:br/>
        <w:t>The design combines custom navigation, bookmark</w:t>
      </w:r>
      <w:r w:rsidRPr="00682650">
        <w:noBreakHyphen/>
        <w:t>driven views, field parameters, and a pop</w:t>
      </w:r>
      <w:r w:rsidRPr="00682650">
        <w:noBreakHyphen/>
        <w:t>out filter panel to deliver a modern web</w:t>
      </w:r>
      <w:r w:rsidRPr="00682650">
        <w:noBreakHyphen/>
        <w:t>app experience rather than a static report.</w:t>
      </w:r>
      <w:r w:rsidRPr="00682650">
        <w:rPr>
          <w:rFonts w:ascii="Arial" w:hAnsi="Arial" w:cs="Arial"/>
        </w:rPr>
        <w:t>​​</w:t>
      </w:r>
    </w:p>
    <w:p w14:paraId="2D7C33F7" w14:textId="677B1DD5" w:rsidR="00682650" w:rsidRPr="00682650" w:rsidRDefault="00682650" w:rsidP="00682650">
      <w:r w:rsidRPr="00682650">
        <w:drawing>
          <wp:inline distT="0" distB="0" distL="0" distR="0" wp14:anchorId="793469CA" wp14:editId="6628B6B6">
            <wp:extent cx="5731510" cy="2621915"/>
            <wp:effectExtent l="0" t="0" r="2540" b="6985"/>
            <wp:docPr id="1128290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901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192B" w14:textId="77777777" w:rsidR="00682650" w:rsidRPr="00682650" w:rsidRDefault="00682650" w:rsidP="00682650">
      <w:pPr>
        <w:rPr>
          <w:b/>
          <w:bCs/>
        </w:rPr>
      </w:pPr>
      <w:r w:rsidRPr="00682650">
        <w:rPr>
          <w:b/>
          <w:bCs/>
        </w:rPr>
        <w:t>Overview and details navigation</w:t>
      </w:r>
    </w:p>
    <w:p w14:paraId="6F3F32E7" w14:textId="77777777" w:rsidR="00682650" w:rsidRPr="00682650" w:rsidRDefault="00682650" w:rsidP="00682650">
      <w:r w:rsidRPr="00682650">
        <w:t>The report uses Overview and Details tabs implemented with buttons and bookmarks, so users can switch context instantly without changing physical pages, improving both performance and usability.</w:t>
      </w:r>
      <w:r w:rsidRPr="00682650">
        <w:rPr>
          <w:rFonts w:ascii="Arial" w:hAnsi="Arial" w:cs="Arial"/>
        </w:rPr>
        <w:t>​</w:t>
      </w:r>
      <w:r w:rsidRPr="00682650">
        <w:br/>
        <w:t>On the Overview tab, executives see KPIs for revenue (CA), average products per sale, and % margin, together with visuals such as CA L12M, a target</w:t>
      </w:r>
      <w:r w:rsidRPr="00682650">
        <w:noBreakHyphen/>
        <w:t>achievement gauge, and revenue by category, giving a concise snapshot of recent performance.</w:t>
      </w:r>
      <w:r w:rsidRPr="00682650">
        <w:rPr>
          <w:rFonts w:ascii="Arial" w:hAnsi="Arial" w:cs="Arial"/>
        </w:rPr>
        <w:t>​​</w:t>
      </w:r>
    </w:p>
    <w:p w14:paraId="6690AF2B" w14:textId="77777777" w:rsidR="00682650" w:rsidRPr="00682650" w:rsidRDefault="00682650" w:rsidP="00682650">
      <w:pPr>
        <w:rPr>
          <w:b/>
          <w:bCs/>
        </w:rPr>
      </w:pPr>
      <w:r w:rsidRPr="00682650">
        <w:rPr>
          <w:b/>
          <w:bCs/>
        </w:rPr>
        <w:t>Advanced filter and field-parameter experience</w:t>
      </w:r>
    </w:p>
    <w:p w14:paraId="579CEA26" w14:textId="77777777" w:rsidR="00682650" w:rsidRDefault="00682650" w:rsidP="00682650">
      <w:pPr>
        <w:rPr>
          <w:rFonts w:ascii="Arial" w:hAnsi="Arial" w:cs="Arial"/>
        </w:rPr>
      </w:pPr>
      <w:r w:rsidRPr="00682650">
        <w:t>A dedicated Filters button opens a slide</w:t>
      </w:r>
      <w:r w:rsidRPr="00682650">
        <w:noBreakHyphen/>
        <w:t>out filter panel containing slicers for Year</w:t>
      </w:r>
      <w:r w:rsidRPr="00682650">
        <w:noBreakHyphen/>
        <w:t>Month, Salesperson, Country, Category, and Region, keeping the main canvas clean while still enabling deep slicing when needed.</w:t>
      </w:r>
      <w:r w:rsidRPr="00682650">
        <w:rPr>
          <w:rFonts w:ascii="Arial" w:hAnsi="Arial" w:cs="Arial"/>
        </w:rPr>
        <w:t>​​</w:t>
      </w:r>
      <w:r w:rsidRPr="00682650">
        <w:br/>
        <w:t>Key visuals use field parameters so users can dynamically switch what metric is displayed (for example, toggling between CA, target achievement, or % margin in the KPI L12M section) without duplicating visuals, demonstrating modern, metadata</w:t>
      </w:r>
      <w:r w:rsidRPr="00682650">
        <w:noBreakHyphen/>
        <w:t>driven Power BI modelling techniques.</w:t>
      </w:r>
      <w:r w:rsidRPr="00682650">
        <w:rPr>
          <w:rFonts w:ascii="Arial" w:hAnsi="Arial" w:cs="Arial"/>
        </w:rPr>
        <w:t>​</w:t>
      </w:r>
    </w:p>
    <w:p w14:paraId="0153D0E3" w14:textId="59E3559F" w:rsidR="00682650" w:rsidRPr="00682650" w:rsidRDefault="00682650" w:rsidP="00682650">
      <w:r w:rsidRPr="00682650">
        <w:lastRenderedPageBreak/>
        <w:drawing>
          <wp:inline distT="0" distB="0" distL="0" distR="0" wp14:anchorId="0158AB1D" wp14:editId="14312941">
            <wp:extent cx="4563112" cy="6668431"/>
            <wp:effectExtent l="0" t="0" r="8890" b="0"/>
            <wp:docPr id="788716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163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925D" w14:textId="77777777" w:rsidR="00682650" w:rsidRPr="00682650" w:rsidRDefault="00682650" w:rsidP="00682650">
      <w:pPr>
        <w:rPr>
          <w:b/>
          <w:bCs/>
        </w:rPr>
      </w:pPr>
      <w:r w:rsidRPr="00682650">
        <w:rPr>
          <w:b/>
          <w:bCs/>
        </w:rPr>
        <w:t>Top sales analysis with bookmarks</w:t>
      </w:r>
    </w:p>
    <w:p w14:paraId="6B2EDC77" w14:textId="77777777" w:rsidR="00682650" w:rsidRDefault="00682650" w:rsidP="00682650">
      <w:pPr>
        <w:rPr>
          <w:rFonts w:ascii="Arial" w:hAnsi="Arial" w:cs="Arial"/>
        </w:rPr>
      </w:pPr>
      <w:r w:rsidRPr="00682650">
        <w:t>The Top sales sub</w:t>
      </w:r>
      <w:r w:rsidRPr="00682650">
        <w:noBreakHyphen/>
        <w:t>tab uses bookmarks to toggle between visual states on the same page: selecting “Top sales” reveals two focussed visuals for Top 5 Resellers and Top 5 Sellers by revenue.</w:t>
      </w:r>
      <w:r w:rsidRPr="00682650">
        <w:rPr>
          <w:rFonts w:ascii="Arial" w:hAnsi="Arial" w:cs="Arial"/>
        </w:rPr>
        <w:t>​​</w:t>
      </w:r>
      <w:r w:rsidRPr="00682650">
        <w:br/>
        <w:t>These visuals rely on Top</w:t>
      </w:r>
      <w:r w:rsidRPr="00682650">
        <w:noBreakHyphen/>
        <w:t>N DAX measures that respond to both slicers and field</w:t>
      </w:r>
      <w:r w:rsidRPr="00682650">
        <w:noBreakHyphen/>
        <w:t>parameter selections, ensuring that rankings always reflect the currently chosen period, region, and metric.</w:t>
      </w:r>
      <w:r w:rsidRPr="00682650">
        <w:rPr>
          <w:rFonts w:ascii="Arial" w:hAnsi="Arial" w:cs="Arial"/>
        </w:rPr>
        <w:t>​​</w:t>
      </w:r>
    </w:p>
    <w:p w14:paraId="05627071" w14:textId="30B5B81C" w:rsidR="00682650" w:rsidRPr="00682650" w:rsidRDefault="00682650" w:rsidP="00682650">
      <w:r w:rsidRPr="00682650">
        <w:lastRenderedPageBreak/>
        <w:drawing>
          <wp:inline distT="0" distB="0" distL="0" distR="0" wp14:anchorId="4664C84A" wp14:editId="39728C66">
            <wp:extent cx="5731510" cy="2515235"/>
            <wp:effectExtent l="0" t="0" r="2540" b="0"/>
            <wp:docPr id="9276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4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A388" w14:textId="77777777" w:rsidR="00682650" w:rsidRPr="00682650" w:rsidRDefault="00682650" w:rsidP="00682650">
      <w:pPr>
        <w:rPr>
          <w:b/>
          <w:bCs/>
        </w:rPr>
      </w:pPr>
      <w:r w:rsidRPr="00682650">
        <w:rPr>
          <w:b/>
          <w:bCs/>
        </w:rPr>
        <w:t>KPI L12M, ranking, and Excel-like detail</w:t>
      </w:r>
    </w:p>
    <w:p w14:paraId="68AAA498" w14:textId="77777777" w:rsidR="00682650" w:rsidRPr="00682650" w:rsidRDefault="00682650" w:rsidP="00682650">
      <w:r w:rsidRPr="00682650">
        <w:t>The KPI L12M area links directly to a CA &amp; ranking by region table that lists each salesperson, their sales, and their rank both within region and globally, helping leadership quickly identify high performers by territory.</w:t>
      </w:r>
      <w:r w:rsidRPr="00682650">
        <w:rPr>
          <w:rFonts w:ascii="Arial" w:hAnsi="Arial" w:cs="Arial"/>
        </w:rPr>
        <w:t>​</w:t>
      </w:r>
      <w:r w:rsidRPr="00682650">
        <w:br/>
        <w:t>An Excel</w:t>
      </w:r>
      <w:r w:rsidRPr="00682650">
        <w:noBreakHyphen/>
        <w:t>like matrix on the right shows revenue by year and month, cumulative revenue, and % of total, giving finance and sales</w:t>
      </w:r>
      <w:r w:rsidRPr="00682650">
        <w:noBreakHyphen/>
        <w:t>ops users a familiar grid view that stays in sync with all filters and field</w:t>
      </w:r>
      <w:r w:rsidRPr="00682650">
        <w:noBreakHyphen/>
        <w:t>parameter choices for a smooth end</w:t>
      </w:r>
      <w:r w:rsidRPr="00682650">
        <w:noBreakHyphen/>
        <w:t>to</w:t>
      </w:r>
      <w:r w:rsidRPr="00682650">
        <w:noBreakHyphen/>
        <w:t>end analytical workflow.</w:t>
      </w:r>
    </w:p>
    <w:p w14:paraId="3ACD05B9" w14:textId="54C8A69F" w:rsidR="008A7405" w:rsidRDefault="00682650">
      <w:r w:rsidRPr="00682650">
        <w:drawing>
          <wp:inline distT="0" distB="0" distL="0" distR="0" wp14:anchorId="30AD08F0" wp14:editId="5852E9D0">
            <wp:extent cx="5731510" cy="2497455"/>
            <wp:effectExtent l="0" t="0" r="2540" b="0"/>
            <wp:docPr id="2007051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517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50"/>
    <w:rsid w:val="00555862"/>
    <w:rsid w:val="00682650"/>
    <w:rsid w:val="008A7405"/>
    <w:rsid w:val="009842A5"/>
    <w:rsid w:val="00E6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2DD3"/>
  <w15:chartTrackingRefBased/>
  <w15:docId w15:val="{FBF3778B-8EF5-4C3D-A5C3-5040947C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Patel</dc:creator>
  <cp:keywords/>
  <dc:description/>
  <cp:lastModifiedBy>Nithish Patel</cp:lastModifiedBy>
  <cp:revision>1</cp:revision>
  <dcterms:created xsi:type="dcterms:W3CDTF">2025-12-17T15:30:00Z</dcterms:created>
  <dcterms:modified xsi:type="dcterms:W3CDTF">2025-12-17T15:32:00Z</dcterms:modified>
</cp:coreProperties>
</file>