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7085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Project overview</w:t>
      </w:r>
    </w:p>
    <w:p w14:paraId="564B5AC8" w14:textId="77777777" w:rsidR="00800D23" w:rsidRPr="00800D23" w:rsidRDefault="00800D23" w:rsidP="00800D23">
      <w:r w:rsidRPr="00800D23">
        <w:t>The Routines Activation Power BI solution monitors how consistently operational “routines” are being activated across the full customer lifecycle, including Sales, Field Services, 7</w:t>
      </w:r>
      <w:r w:rsidRPr="00800D23">
        <w:noBreakHyphen/>
        <w:t>Day Visits, Collections, Customer Care, and Customer Service.</w:t>
      </w:r>
      <w:r w:rsidRPr="00800D23">
        <w:br/>
        <w:t>The report is designed for senior operations and commercial leaders who need a single view of activation rate, volume, and routine usage by country, customer type, and branch to drive performance management and process compliance.</w:t>
      </w:r>
      <w:r w:rsidRPr="00800D23">
        <w:rPr>
          <w:rFonts w:ascii="Arial" w:hAnsi="Arial" w:cs="Arial"/>
        </w:rPr>
        <w:t>​</w:t>
      </w:r>
    </w:p>
    <w:p w14:paraId="23E69AE7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Data sources and integration</w:t>
      </w:r>
    </w:p>
    <w:p w14:paraId="60D14723" w14:textId="77777777" w:rsidR="00800D23" w:rsidRPr="00800D23" w:rsidRDefault="00800D23" w:rsidP="00800D23">
      <w:r w:rsidRPr="00800D23">
        <w:t>This solution brings together data from three enterprise systems: a PostgreSQL operational database, SharePoint files (ad</w:t>
      </w:r>
      <w:r w:rsidRPr="00800D23">
        <w:noBreakHyphen/>
        <w:t>hoc and manually curated logs), and Snowflake for centralised, high</w:t>
      </w:r>
      <w:r w:rsidRPr="00800D23">
        <w:noBreakHyphen/>
        <w:t>volume datasets.</w:t>
      </w:r>
      <w:r w:rsidRPr="00800D23">
        <w:rPr>
          <w:rFonts w:ascii="Arial" w:hAnsi="Arial" w:cs="Arial"/>
        </w:rPr>
        <w:t>​</w:t>
      </w:r>
      <w:r w:rsidRPr="00800D23">
        <w:br/>
        <w:t>Using Power Query, the raw tables (</w:t>
      </w:r>
      <w:proofErr w:type="spellStart"/>
      <w:r w:rsidRPr="00800D23">
        <w:t>Sales_data</w:t>
      </w:r>
      <w:proofErr w:type="spellEnd"/>
      <w:r w:rsidRPr="00800D23">
        <w:t xml:space="preserve">, </w:t>
      </w:r>
      <w:proofErr w:type="spellStart"/>
      <w:r w:rsidRPr="00800D23">
        <w:t>Branches_info</w:t>
      </w:r>
      <w:proofErr w:type="spellEnd"/>
      <w:r w:rsidRPr="00800D23">
        <w:t xml:space="preserve">, </w:t>
      </w:r>
      <w:proofErr w:type="spellStart"/>
      <w:r w:rsidRPr="00800D23">
        <w:t>IE_Branches_info</w:t>
      </w:r>
      <w:proofErr w:type="spellEnd"/>
      <w:r w:rsidRPr="00800D23">
        <w:t xml:space="preserve">, CUS01_CUSTOMER, Country, </w:t>
      </w:r>
      <w:proofErr w:type="spellStart"/>
      <w:r w:rsidRPr="00800D23">
        <w:t>Customer_type</w:t>
      </w:r>
      <w:proofErr w:type="spellEnd"/>
      <w:r w:rsidRPr="00800D23">
        <w:t xml:space="preserve">, FS, Tickets, </w:t>
      </w:r>
      <w:proofErr w:type="spellStart"/>
      <w:r w:rsidRPr="00800D23">
        <w:t>CC_agents</w:t>
      </w:r>
      <w:proofErr w:type="spellEnd"/>
      <w:r w:rsidRPr="00800D23">
        <w:t>, etc.) are cleaned, merged, and conformed to produce a consistent set of dimension and fact tables, including shared keys for customer, branch, and date to support cross</w:t>
      </w:r>
      <w:r w:rsidRPr="00800D23">
        <w:noBreakHyphen/>
        <w:t>department analysis.</w:t>
      </w:r>
      <w:r w:rsidRPr="00800D23">
        <w:rPr>
          <w:rFonts w:ascii="Arial" w:hAnsi="Arial" w:cs="Arial"/>
        </w:rPr>
        <w:t>​</w:t>
      </w:r>
    </w:p>
    <w:p w14:paraId="57A304E5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Data modelling and date intelligence</w:t>
      </w:r>
    </w:p>
    <w:p w14:paraId="23FFB6B6" w14:textId="758BB56F" w:rsidR="00800D23" w:rsidRPr="00800D23" w:rsidRDefault="00800D23" w:rsidP="00800D23">
      <w:r w:rsidRPr="00800D23">
        <w:t>The model follows a star schema, with a single central Date table driving all departmental fact tables (Sales, Field Services routines, Collections, 7</w:t>
      </w:r>
      <w:r w:rsidRPr="00800D23">
        <w:noBreakHyphen/>
        <w:t>Day Visits, Tickets, Scheduled Services, etc.), which aligns with performance and best</w:t>
      </w:r>
      <w:r w:rsidRPr="00800D23">
        <w:noBreakHyphen/>
        <w:t>practice guidance for Power BI.</w:t>
      </w:r>
      <w:r w:rsidRPr="00800D23">
        <w:rPr>
          <w:rFonts w:ascii="Arial" w:hAnsi="Arial" w:cs="Arial"/>
        </w:rPr>
        <w:t>​</w:t>
      </w:r>
      <w:r w:rsidRPr="00800D23">
        <w:br/>
        <w:t>The Date dimension includes period attributes and time</w:t>
      </w:r>
      <w:r w:rsidRPr="00800D23">
        <w:noBreakHyphen/>
        <w:t>intelligence flags (week, month, quarter, year, current vs previous period), enabling consistent calculations of activation rates by date, 7</w:t>
      </w:r>
      <w:r w:rsidRPr="00800D23">
        <w:noBreakHyphen/>
        <w:t xml:space="preserve">day visit windows, and trend analysis across every page in </w:t>
      </w:r>
      <w:r w:rsidRPr="00800D23">
        <w:lastRenderedPageBreak/>
        <w:t>the report.</w:t>
      </w:r>
      <w:r w:rsidRPr="00800D23">
        <w:rPr>
          <w:rFonts w:ascii="Arial" w:hAnsi="Arial" w:cs="Arial"/>
        </w:rPr>
        <w:t>​</w:t>
      </w:r>
      <w:r w:rsidRPr="00800D23">
        <w:rPr>
          <w:noProof/>
        </w:rPr>
        <w:t xml:space="preserve"> </w:t>
      </w:r>
      <w:r w:rsidRPr="00800D23">
        <w:rPr>
          <w:rFonts w:ascii="Arial" w:hAnsi="Arial" w:cs="Arial"/>
        </w:rPr>
        <w:drawing>
          <wp:inline distT="0" distB="0" distL="0" distR="0" wp14:anchorId="2FEBCF58" wp14:editId="66F0E801">
            <wp:extent cx="5731510" cy="4544695"/>
            <wp:effectExtent l="0" t="0" r="2540" b="8255"/>
            <wp:docPr id="367803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038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1EB7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Business logic and DAX measures</w:t>
      </w:r>
    </w:p>
    <w:p w14:paraId="3FD4079B" w14:textId="77777777" w:rsidR="00800D23" w:rsidRPr="00800D23" w:rsidRDefault="00800D23" w:rsidP="00800D23">
      <w:r w:rsidRPr="00800D23">
        <w:t>Core KPIs are implemented as reusable DAX measures rather than duplicated columns, including: total interactions (sales, services, visits, or tickets), routines activated, and activation rate per department.</w:t>
      </w:r>
      <w:r w:rsidRPr="00800D23">
        <w:rPr>
          <w:rFonts w:ascii="Arial" w:hAnsi="Arial" w:cs="Arial"/>
        </w:rPr>
        <w:t>​</w:t>
      </w:r>
      <w:r w:rsidRPr="00800D23">
        <w:br/>
        <w:t>Activation rate is defined as </w:t>
      </w:r>
      <w:r w:rsidRPr="00800D23">
        <w:rPr>
          <w:i/>
          <w:iCs/>
        </w:rPr>
        <w:t>routines activated ÷ eligible interactions</w:t>
      </w:r>
      <w:r w:rsidRPr="00800D23">
        <w:t>, and all measures are fully filter</w:t>
      </w:r>
      <w:r w:rsidRPr="00800D23">
        <w:noBreakHyphen/>
        <w:t>aware so that changing country (UK vs Ireland), customer type (Residential vs Business), date range, or branch context dynamically recalculates the gauges, cards, and charts.</w:t>
      </w:r>
      <w:r w:rsidRPr="00800D23">
        <w:rPr>
          <w:rFonts w:ascii="Arial" w:hAnsi="Arial" w:cs="Arial"/>
        </w:rPr>
        <w:t>​</w:t>
      </w:r>
    </w:p>
    <w:p w14:paraId="443496D5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Advanced navigation and UX design</w:t>
      </w:r>
    </w:p>
    <w:p w14:paraId="308B34D5" w14:textId="77777777" w:rsidR="00800D23" w:rsidRDefault="00800D23" w:rsidP="00800D23">
      <w:pPr>
        <w:rPr>
          <w:rFonts w:ascii="Arial" w:hAnsi="Arial" w:cs="Arial"/>
        </w:rPr>
      </w:pPr>
      <w:r w:rsidRPr="00800D23">
        <w:t>The overview page provides a high</w:t>
      </w:r>
      <w:r w:rsidRPr="00800D23">
        <w:noBreakHyphen/>
        <w:t>level snapshot of activation performance for each department, with consistent gauges and KPI cards to make cross</w:t>
      </w:r>
      <w:r w:rsidRPr="00800D23">
        <w:noBreakHyphen/>
        <w:t>functional comparison easy for executives.</w:t>
      </w:r>
      <w:r w:rsidRPr="00800D23">
        <w:br/>
        <w:t>Interactive icon</w:t>
      </w:r>
      <w:r w:rsidRPr="00800D23">
        <w:noBreakHyphen/>
        <w:t>based bookmarks allow users to toggle between UK and Ireland data via flag icons and to switch between Residential and Business customers via dedicated icons, creating an app</w:t>
      </w:r>
      <w:r w:rsidRPr="00800D23">
        <w:noBreakHyphen/>
        <w:t>like experience instead of cluttered slicers.</w:t>
      </w:r>
      <w:r w:rsidRPr="00800D23">
        <w:rPr>
          <w:rFonts w:ascii="Arial" w:hAnsi="Arial" w:cs="Arial"/>
        </w:rPr>
        <w:t>​</w:t>
      </w:r>
    </w:p>
    <w:p w14:paraId="4189D439" w14:textId="2345DC9B" w:rsidR="00800D23" w:rsidRDefault="00800D23" w:rsidP="00800D23">
      <w:r w:rsidRPr="00800D23">
        <w:lastRenderedPageBreak/>
        <w:drawing>
          <wp:inline distT="0" distB="0" distL="0" distR="0" wp14:anchorId="4A2CDA9C" wp14:editId="56D27D7D">
            <wp:extent cx="876422" cy="6858957"/>
            <wp:effectExtent l="0" t="0" r="0" b="0"/>
            <wp:docPr id="401736604" name="Picture 1" descr="A red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36604" name="Picture 1" descr="A red rectangular sig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3BDA" w14:textId="3DAA2E52" w:rsidR="00800D23" w:rsidRPr="00800D23" w:rsidRDefault="00800D23" w:rsidP="00800D23">
      <w:r w:rsidRPr="00800D23">
        <w:lastRenderedPageBreak/>
        <w:drawing>
          <wp:inline distT="0" distB="0" distL="0" distR="0" wp14:anchorId="44BFDBCD" wp14:editId="763B481C">
            <wp:extent cx="4829849" cy="3953427"/>
            <wp:effectExtent l="0" t="0" r="8890" b="9525"/>
            <wp:docPr id="1189755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58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A5D8" w14:textId="77777777" w:rsidR="00800D23" w:rsidRPr="00800D23" w:rsidRDefault="00800D23" w:rsidP="00800D23">
      <w:r w:rsidRPr="00800D23">
        <w:t>Clicking on the Sales tile navigates to a dedicated Sales Overview page (and similarly structured pages for 7</w:t>
      </w:r>
      <w:r w:rsidRPr="00800D23">
        <w:noBreakHyphen/>
        <w:t>Day Visits, Field Services, and Customer Care), using bookmarks and buttons for seamless page navigation.</w:t>
      </w:r>
      <w:r w:rsidRPr="00800D23">
        <w:rPr>
          <w:rFonts w:ascii="Arial" w:hAnsi="Arial" w:cs="Arial"/>
        </w:rPr>
        <w:t>​</w:t>
      </w:r>
      <w:r w:rsidRPr="00800D23">
        <w:br/>
        <w:t>The Sales deep</w:t>
      </w:r>
      <w:r w:rsidRPr="00800D23">
        <w:noBreakHyphen/>
        <w:t>dive includes:</w:t>
      </w:r>
    </w:p>
    <w:p w14:paraId="4DC540D6" w14:textId="77777777" w:rsidR="00800D23" w:rsidRPr="00800D23" w:rsidRDefault="00800D23" w:rsidP="00800D23">
      <w:pPr>
        <w:numPr>
          <w:ilvl w:val="0"/>
          <w:numId w:val="1"/>
        </w:numPr>
      </w:pPr>
      <w:r w:rsidRPr="00800D23">
        <w:t>KPI cards for Total Sales, Routines Activated, Activation Rate.</w:t>
      </w:r>
    </w:p>
    <w:p w14:paraId="235524C4" w14:textId="77777777" w:rsidR="00800D23" w:rsidRPr="00800D23" w:rsidRDefault="00800D23" w:rsidP="00800D23">
      <w:pPr>
        <w:numPr>
          <w:ilvl w:val="0"/>
          <w:numId w:val="1"/>
        </w:numPr>
      </w:pPr>
      <w:r w:rsidRPr="00800D23">
        <w:t>Routines by branch bar charts showing how many routines are activated per location.</w:t>
      </w:r>
    </w:p>
    <w:p w14:paraId="14703093" w14:textId="77777777" w:rsidR="00800D23" w:rsidRPr="00800D23" w:rsidRDefault="00800D23" w:rsidP="00800D23">
      <w:pPr>
        <w:numPr>
          <w:ilvl w:val="0"/>
          <w:numId w:val="1"/>
        </w:numPr>
      </w:pPr>
      <w:r w:rsidRPr="00800D23">
        <w:t>Sales by branch ranking to highlight high</w:t>
      </w:r>
      <w:r w:rsidRPr="00800D23">
        <w:noBreakHyphen/>
        <w:t>volume sites.</w:t>
      </w:r>
    </w:p>
    <w:p w14:paraId="2F0421D0" w14:textId="77777777" w:rsidR="00800D23" w:rsidRPr="00800D23" w:rsidRDefault="00800D23" w:rsidP="00800D23">
      <w:pPr>
        <w:numPr>
          <w:ilvl w:val="0"/>
          <w:numId w:val="1"/>
        </w:numPr>
      </w:pPr>
      <w:r w:rsidRPr="00800D23">
        <w:t>An Activation rate by Date time</w:t>
      </w:r>
      <w:r w:rsidRPr="00800D23">
        <w:noBreakHyphen/>
        <w:t>series visual for short</w:t>
      </w:r>
      <w:r w:rsidRPr="00800D23">
        <w:noBreakHyphen/>
        <w:t>term trend monitoring.</w:t>
      </w:r>
    </w:p>
    <w:p w14:paraId="4C91FB0F" w14:textId="77777777" w:rsidR="00800D23" w:rsidRDefault="00800D23" w:rsidP="00800D23">
      <w:pPr>
        <w:numPr>
          <w:ilvl w:val="0"/>
          <w:numId w:val="1"/>
        </w:numPr>
      </w:pPr>
      <w:r w:rsidRPr="00800D23">
        <w:t>A detailed “Sales by routine flag” table listing installations, routine names, dates, and activation flags to support root</w:t>
      </w:r>
      <w:r w:rsidRPr="00800D23">
        <w:noBreakHyphen/>
        <w:t>cause analysis and coaching at record level.</w:t>
      </w:r>
    </w:p>
    <w:p w14:paraId="4E5D27EA" w14:textId="4C715EE2" w:rsidR="00800D23" w:rsidRPr="00800D23" w:rsidRDefault="00800D23" w:rsidP="00800D23">
      <w:r w:rsidRPr="00800D23">
        <w:lastRenderedPageBreak/>
        <w:drawing>
          <wp:inline distT="0" distB="0" distL="0" distR="0" wp14:anchorId="3451EE0D" wp14:editId="44D39A01">
            <wp:extent cx="5731510" cy="3167380"/>
            <wp:effectExtent l="0" t="0" r="2540" b="0"/>
            <wp:docPr id="13573845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8454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47C4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Performance optimisation choices</w:t>
      </w:r>
    </w:p>
    <w:p w14:paraId="5722F175" w14:textId="77777777" w:rsidR="00800D23" w:rsidRPr="00800D23" w:rsidRDefault="00800D23" w:rsidP="00800D23">
      <w:r w:rsidRPr="00800D23">
        <w:t>The report is built with performance in mind, following enterprise optimisation practices:</w:t>
      </w:r>
    </w:p>
    <w:p w14:paraId="72960BBD" w14:textId="77777777" w:rsidR="00800D23" w:rsidRPr="00800D23" w:rsidRDefault="00800D23" w:rsidP="00800D23">
      <w:pPr>
        <w:numPr>
          <w:ilvl w:val="0"/>
          <w:numId w:val="2"/>
        </w:numPr>
      </w:pPr>
      <w:r w:rsidRPr="00800D23">
        <w:t xml:space="preserve">Lean star schema with only required columns and rows retained, and text fields reduced where possible to improve </w:t>
      </w:r>
      <w:proofErr w:type="spellStart"/>
      <w:r w:rsidRPr="00800D23">
        <w:t>VertiPaq</w:t>
      </w:r>
      <w:proofErr w:type="spellEnd"/>
      <w:r w:rsidRPr="00800D23">
        <w:t xml:space="preserve"> compression and query speed.</w:t>
      </w:r>
      <w:r w:rsidRPr="00800D23">
        <w:rPr>
          <w:rFonts w:ascii="Arial" w:hAnsi="Arial" w:cs="Arial"/>
        </w:rPr>
        <w:t>​</w:t>
      </w:r>
    </w:p>
    <w:p w14:paraId="014D43A1" w14:textId="77777777" w:rsidR="00800D23" w:rsidRPr="00800D23" w:rsidRDefault="00800D23" w:rsidP="00800D23">
      <w:pPr>
        <w:numPr>
          <w:ilvl w:val="0"/>
          <w:numId w:val="2"/>
        </w:numPr>
      </w:pPr>
      <w:r w:rsidRPr="00800D23">
        <w:t>Preference for Power Query transformations (merges, derived columns, type conversions) instead of calculated columns, to push heavy work to the data refresh step and preserve report responsiveness.</w:t>
      </w:r>
      <w:r w:rsidRPr="00800D23">
        <w:rPr>
          <w:rFonts w:ascii="Arial" w:hAnsi="Arial" w:cs="Arial"/>
        </w:rPr>
        <w:t>​</w:t>
      </w:r>
    </w:p>
    <w:p w14:paraId="0C28359B" w14:textId="77777777" w:rsidR="00800D23" w:rsidRPr="00800D23" w:rsidRDefault="00800D23" w:rsidP="00800D23">
      <w:pPr>
        <w:numPr>
          <w:ilvl w:val="0"/>
          <w:numId w:val="2"/>
        </w:numPr>
      </w:pPr>
      <w:r w:rsidRPr="00800D23">
        <w:t xml:space="preserve">Use of import mode for core fact tables with appropriate aggregations rather than excessive </w:t>
      </w:r>
      <w:proofErr w:type="spellStart"/>
      <w:r w:rsidRPr="00800D23">
        <w:t>DirectQuery</w:t>
      </w:r>
      <w:proofErr w:type="spellEnd"/>
      <w:r w:rsidRPr="00800D23">
        <w:t>, balancing freshness and speed; Row</w:t>
      </w:r>
      <w:r w:rsidRPr="00800D23">
        <w:noBreakHyphen/>
        <w:t>level filters and incremental refresh can be applied where necessary as data volume grows.</w:t>
      </w:r>
      <w:r w:rsidRPr="00800D23">
        <w:rPr>
          <w:rFonts w:ascii="Arial" w:hAnsi="Arial" w:cs="Arial"/>
        </w:rPr>
        <w:t>​</w:t>
      </w:r>
    </w:p>
    <w:p w14:paraId="7D9D4509" w14:textId="77777777" w:rsidR="00800D23" w:rsidRPr="00800D23" w:rsidRDefault="00800D23" w:rsidP="00800D23">
      <w:pPr>
        <w:numPr>
          <w:ilvl w:val="0"/>
          <w:numId w:val="2"/>
        </w:numPr>
      </w:pPr>
      <w:r w:rsidRPr="00800D23">
        <w:t>Controlled visual density on each page (limited number of visuals and interactions) so that executives get a fast, focused experience without overloading the report canvas.</w:t>
      </w:r>
      <w:r w:rsidRPr="00800D23">
        <w:rPr>
          <w:rFonts w:ascii="Arial" w:hAnsi="Arial" w:cs="Arial"/>
        </w:rPr>
        <w:t>​</w:t>
      </w:r>
    </w:p>
    <w:p w14:paraId="156E6BC9" w14:textId="77777777" w:rsidR="00800D23" w:rsidRPr="00800D23" w:rsidRDefault="00800D23" w:rsidP="00800D23">
      <w:pPr>
        <w:rPr>
          <w:b/>
          <w:bCs/>
        </w:rPr>
      </w:pPr>
      <w:r w:rsidRPr="00800D23">
        <w:rPr>
          <w:b/>
          <w:bCs/>
        </w:rPr>
        <w:t>Business impact and transferable skills</w:t>
      </w:r>
    </w:p>
    <w:p w14:paraId="4829C37A" w14:textId="77777777" w:rsidR="00800D23" w:rsidRPr="00800D23" w:rsidRDefault="00800D23" w:rsidP="00800D23">
      <w:r w:rsidRPr="00800D23">
        <w:t>This project demonstrates the ability to translate a complex operational process (multi</w:t>
      </w:r>
      <w:r w:rsidRPr="00800D23">
        <w:noBreakHyphen/>
        <w:t>department routine activation) into a clear analytical model with consistent KPIs, driven from disparate sources (PostgreSQL, SharePoint, Snowflake).</w:t>
      </w:r>
      <w:r w:rsidRPr="00800D23">
        <w:rPr>
          <w:rFonts w:ascii="Arial" w:hAnsi="Arial" w:cs="Arial"/>
        </w:rPr>
        <w:t>​</w:t>
      </w:r>
      <w:r w:rsidRPr="00800D23">
        <w:br/>
        <w:t>It highlights advanced Power BI capabilities: enterprise</w:t>
      </w:r>
      <w:r w:rsidRPr="00800D23">
        <w:noBreakHyphen/>
        <w:t>grade data modelling, central date table and time intelligence, DAX measure design, bookmark</w:t>
      </w:r>
      <w:r w:rsidRPr="00800D23">
        <w:noBreakHyphen/>
        <w:t>based navigation, and performance tuning—all directly applicable to sales, service, and operations reporting in real</w:t>
      </w:r>
      <w:r w:rsidRPr="00800D23">
        <w:noBreakHyphen/>
        <w:t>world organisations.</w:t>
      </w:r>
    </w:p>
    <w:p w14:paraId="067EF671" w14:textId="77777777" w:rsidR="008A7405" w:rsidRDefault="008A7405"/>
    <w:sectPr w:rsidR="008A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01DD3"/>
    <w:multiLevelType w:val="multilevel"/>
    <w:tmpl w:val="DA9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721CB6"/>
    <w:multiLevelType w:val="multilevel"/>
    <w:tmpl w:val="3AC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330661">
    <w:abstractNumId w:val="1"/>
  </w:num>
  <w:num w:numId="2" w16cid:durableId="202751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23"/>
    <w:rsid w:val="001704D6"/>
    <w:rsid w:val="00555862"/>
    <w:rsid w:val="00800D23"/>
    <w:rsid w:val="008A7405"/>
    <w:rsid w:val="0098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BF23"/>
  <w15:chartTrackingRefBased/>
  <w15:docId w15:val="{FE4C20BC-02B4-4B06-843B-726D553F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Patel</dc:creator>
  <cp:keywords/>
  <dc:description/>
  <cp:lastModifiedBy>Nithish Patel</cp:lastModifiedBy>
  <cp:revision>1</cp:revision>
  <dcterms:created xsi:type="dcterms:W3CDTF">2025-12-17T14:25:00Z</dcterms:created>
  <dcterms:modified xsi:type="dcterms:W3CDTF">2025-12-17T14:34:00Z</dcterms:modified>
</cp:coreProperties>
</file>