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ADEFC" w14:textId="77777777" w:rsidR="008A625A" w:rsidRDefault="008A625A" w:rsidP="008A625A">
      <w:pPr>
        <w:jc w:val="center"/>
        <w:rPr>
          <w:lang w:val="en-US"/>
        </w:rPr>
      </w:pPr>
      <w:proofErr w:type="gramStart"/>
      <w:r>
        <w:rPr>
          <w:lang w:val="en-US"/>
        </w:rPr>
        <w:t>PYTHON  FOR</w:t>
      </w:r>
      <w:proofErr w:type="gramEnd"/>
      <w:r>
        <w:rPr>
          <w:lang w:val="en-US"/>
        </w:rPr>
        <w:t xml:space="preserve">  </w:t>
      </w:r>
      <w:proofErr w:type="gramStart"/>
      <w:r>
        <w:rPr>
          <w:lang w:val="en-US"/>
        </w:rPr>
        <w:t>DATA  ANALYTICS</w:t>
      </w:r>
      <w:proofErr w:type="gramEnd"/>
    </w:p>
    <w:p w14:paraId="67894329" w14:textId="77777777" w:rsidR="008A625A" w:rsidRDefault="008A625A" w:rsidP="008A625A">
      <w:pPr>
        <w:jc w:val="center"/>
        <w:rPr>
          <w:lang w:val="en-US"/>
        </w:rPr>
      </w:pPr>
      <w:r>
        <w:rPr>
          <w:lang w:val="en-US"/>
        </w:rPr>
        <w:t>PROJECT REPORT</w:t>
      </w:r>
    </w:p>
    <w:p w14:paraId="17E25F07" w14:textId="77777777" w:rsidR="008A625A" w:rsidRDefault="008A625A" w:rsidP="008A625A">
      <w:pPr>
        <w:jc w:val="center"/>
        <w:rPr>
          <w:lang w:val="en-US"/>
        </w:rPr>
      </w:pPr>
      <w:r>
        <w:rPr>
          <w:lang w:val="en-US"/>
        </w:rPr>
        <w:t>SUBMITTED BY</w:t>
      </w:r>
    </w:p>
    <w:p w14:paraId="62644EEE" w14:textId="77777777" w:rsidR="008A625A" w:rsidRDefault="008A625A" w:rsidP="008A625A">
      <w:pPr>
        <w:jc w:val="center"/>
        <w:rPr>
          <w:lang w:val="en-US"/>
        </w:rPr>
      </w:pPr>
      <w:proofErr w:type="gramStart"/>
      <w:r>
        <w:rPr>
          <w:lang w:val="en-US"/>
        </w:rPr>
        <w:t>NAME :</w:t>
      </w:r>
      <w:proofErr w:type="gramEnd"/>
      <w:r>
        <w:rPr>
          <w:lang w:val="en-US"/>
        </w:rPr>
        <w:t xml:space="preserve"> NISTHISH</w:t>
      </w:r>
    </w:p>
    <w:p w14:paraId="3D34F3ED" w14:textId="77777777" w:rsidR="008A625A" w:rsidRDefault="008A625A" w:rsidP="008A625A">
      <w:pPr>
        <w:jc w:val="center"/>
        <w:rPr>
          <w:lang w:val="en-US"/>
        </w:rPr>
      </w:pPr>
      <w:r>
        <w:rPr>
          <w:lang w:val="en-US"/>
        </w:rPr>
        <w:t xml:space="preserve">REG </w:t>
      </w:r>
      <w:proofErr w:type="gramStart"/>
      <w:r>
        <w:rPr>
          <w:lang w:val="en-US"/>
        </w:rPr>
        <w:t>NO :</w:t>
      </w:r>
      <w:proofErr w:type="gramEnd"/>
      <w:r>
        <w:rPr>
          <w:lang w:val="en-US"/>
        </w:rPr>
        <w:t xml:space="preserve"> 26BSC089</w:t>
      </w:r>
    </w:p>
    <w:p w14:paraId="337EA16B" w14:textId="77777777" w:rsidR="008A625A" w:rsidRDefault="008A625A" w:rsidP="008A625A">
      <w:pPr>
        <w:jc w:val="center"/>
        <w:rPr>
          <w:lang w:val="en-US"/>
        </w:rPr>
      </w:pPr>
      <w:r>
        <w:rPr>
          <w:lang w:val="en-US"/>
        </w:rPr>
        <w:t xml:space="preserve">GOOGLE COLAB </w:t>
      </w:r>
      <w:proofErr w:type="gramStart"/>
      <w:r>
        <w:rPr>
          <w:lang w:val="en-US"/>
        </w:rPr>
        <w:t>LINK :</w:t>
      </w:r>
      <w:proofErr w:type="gramEnd"/>
      <w:r>
        <w:rPr>
          <w:lang w:val="en-US"/>
        </w:rPr>
        <w:t xml:space="preserve"> </w:t>
      </w:r>
      <w:hyperlink r:id="rId4" w:history="1">
        <w:r w:rsidRPr="006E79A6">
          <w:rPr>
            <w:rStyle w:val="Hyperlink"/>
            <w:lang w:val="en-US"/>
          </w:rPr>
          <w:t>https://colab.research.google.com/drive/1sfnSnl9bKPxLVe6G2tZzwCpN4nGdIYuD?usp=sharing</w:t>
        </w:r>
      </w:hyperlink>
    </w:p>
    <w:p w14:paraId="1C0342F1" w14:textId="77777777" w:rsidR="008A625A" w:rsidRPr="00A82028" w:rsidRDefault="008A625A" w:rsidP="008A625A">
      <w:pPr>
        <w:rPr>
          <w:lang w:val="en-US"/>
        </w:rPr>
      </w:pPr>
      <w:r w:rsidRPr="00A82028">
        <w:rPr>
          <w:lang w:val="en-US"/>
        </w:rPr>
        <w:t xml:space="preserve">Section 1 – Objective </w:t>
      </w:r>
    </w:p>
    <w:p w14:paraId="442BCC73" w14:textId="77777777" w:rsidR="008A625A" w:rsidRPr="001E7AF6" w:rsidRDefault="008A625A" w:rsidP="008A625A">
      <w:pPr>
        <w:rPr>
          <w:lang w:val="en-US"/>
        </w:rPr>
      </w:pPr>
      <w:r w:rsidRPr="001E7AF6">
        <w:rPr>
          <w:lang w:val="en-US"/>
        </w:rPr>
        <w:t xml:space="preserve">The objective of this analysis is to study Shopify Inc. (SHOP) historical stock-price movement, trading </w:t>
      </w:r>
    </w:p>
    <w:p w14:paraId="5F4F3AC2" w14:textId="77777777" w:rsidR="008A625A" w:rsidRPr="001E7AF6" w:rsidRDefault="008A625A" w:rsidP="008A625A">
      <w:pPr>
        <w:rPr>
          <w:lang w:val="en-US"/>
        </w:rPr>
      </w:pPr>
      <w:r w:rsidRPr="001E7AF6">
        <w:rPr>
          <w:lang w:val="en-US"/>
        </w:rPr>
        <w:t xml:space="preserve">volume, moving averages, daily-return distribution, and volatility. The analysis uses the supplied </w:t>
      </w:r>
    </w:p>
    <w:p w14:paraId="7D8DFC4A" w14:textId="77777777" w:rsidR="008A625A" w:rsidRPr="001E7AF6" w:rsidRDefault="008A625A" w:rsidP="008A625A">
      <w:pPr>
        <w:rPr>
          <w:lang w:val="en-US"/>
        </w:rPr>
      </w:pPr>
      <w:r w:rsidRPr="001E7AF6">
        <w:rPr>
          <w:lang w:val="en-US"/>
        </w:rPr>
        <w:t xml:space="preserve">daily CSV data containing date, open, high, low, close, adjusted close, and volume. </w:t>
      </w:r>
    </w:p>
    <w:p w14:paraId="4B149E97" w14:textId="77777777" w:rsidR="008A625A" w:rsidRPr="001E7AF6" w:rsidRDefault="008A625A" w:rsidP="008A625A">
      <w:pPr>
        <w:rPr>
          <w:lang w:val="en-US"/>
        </w:rPr>
      </w:pPr>
      <w:r w:rsidRPr="001E7AF6">
        <w:rPr>
          <w:lang w:val="en-US"/>
        </w:rPr>
        <w:t xml:space="preserve">*Section 2 – Historical Price Trend </w:t>
      </w:r>
    </w:p>
    <w:p w14:paraId="7114DC7F" w14:textId="77777777" w:rsidR="008A625A" w:rsidRPr="001E7AF6" w:rsidRDefault="008A625A" w:rsidP="008A625A">
      <w:pPr>
        <w:rPr>
          <w:lang w:val="en-US"/>
        </w:rPr>
      </w:pPr>
      <w:r w:rsidRPr="001E7AF6">
        <w:rPr>
          <w:lang w:val="en-US"/>
        </w:rPr>
        <w:t xml:space="preserve">The dataset contains 2,469 daily observations. The closing price was $2.57 at the beginning of the </w:t>
      </w:r>
    </w:p>
    <w:p w14:paraId="485BE594" w14:textId="77777777" w:rsidR="008A625A" w:rsidRPr="001E7AF6" w:rsidRDefault="008A625A" w:rsidP="008A625A">
      <w:pPr>
        <w:rPr>
          <w:lang w:val="en-US"/>
        </w:rPr>
      </w:pPr>
      <w:r w:rsidRPr="001E7AF6">
        <w:rPr>
          <w:lang w:val="en-US"/>
        </w:rPr>
        <w:t xml:space="preserve">period and $94.85 at the end. The highest closing price in the dataset was $169.06 on 19 November </w:t>
      </w:r>
    </w:p>
    <w:p w14:paraId="088338E8" w14:textId="77777777" w:rsidR="008A625A" w:rsidRPr="001E7AF6" w:rsidRDefault="008A625A" w:rsidP="008A625A">
      <w:pPr>
        <w:rPr>
          <w:lang w:val="en-US"/>
        </w:rPr>
      </w:pPr>
      <w:r w:rsidRPr="001E7AF6">
        <w:rPr>
          <w:lang w:val="en-US"/>
        </w:rPr>
        <w:t xml:space="preserve">2021, while the lowest was $1.93 on 12 February 2016. From the first to the last observation, the </w:t>
      </w:r>
    </w:p>
    <w:p w14:paraId="2D2AE377" w14:textId="77777777" w:rsidR="008A625A" w:rsidRDefault="008A625A" w:rsidP="008A625A">
      <w:pPr>
        <w:rPr>
          <w:lang w:val="en-US"/>
        </w:rPr>
      </w:pPr>
      <w:r w:rsidRPr="001E7AF6">
        <w:rPr>
          <w:lang w:val="en-US"/>
        </w:rPr>
        <w:t>cumulative change in closing price was 3593.54%.</w:t>
      </w:r>
      <w:r>
        <w:rPr>
          <w:lang w:val="en-US"/>
        </w:rPr>
        <w:br w:type="page"/>
      </w:r>
    </w:p>
    <w:p w14:paraId="61651522" w14:textId="77777777" w:rsidR="008A625A" w:rsidRDefault="008A625A" w:rsidP="008A625A">
      <w:pPr>
        <w:rPr>
          <w:lang w:val="en-US"/>
        </w:rPr>
      </w:pPr>
      <w:r>
        <w:rPr>
          <w:noProof/>
        </w:rPr>
        <w:lastRenderedPageBreak/>
        <w:drawing>
          <wp:inline distT="0" distB="0" distL="0" distR="0" wp14:anchorId="28842066" wp14:editId="6FDBBB8C">
            <wp:extent cx="5731510" cy="2865755"/>
            <wp:effectExtent l="0" t="0" r="2540" b="0"/>
            <wp:docPr id="205961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DE8AF6F" w14:textId="77777777" w:rsidR="008A625A" w:rsidRDefault="008A625A" w:rsidP="008A625A">
      <w:pPr>
        <w:jc w:val="center"/>
        <w:rPr>
          <w:lang w:val="en-US"/>
        </w:rPr>
      </w:pPr>
    </w:p>
    <w:p w14:paraId="629F3FB7" w14:textId="77777777" w:rsidR="008A625A" w:rsidRPr="0088589B" w:rsidRDefault="008A625A" w:rsidP="008A625A">
      <w:pPr>
        <w:jc w:val="center"/>
        <w:rPr>
          <w:lang w:val="en-US"/>
        </w:rPr>
      </w:pPr>
      <w:r w:rsidRPr="0088589B">
        <w:rPr>
          <w:lang w:val="en-US"/>
        </w:rPr>
        <w:t>Section 3 – Trading Volume Analysis</w:t>
      </w:r>
    </w:p>
    <w:p w14:paraId="125C3C34" w14:textId="77777777" w:rsidR="008A625A" w:rsidRPr="0088589B" w:rsidRDefault="008A625A" w:rsidP="008A625A">
      <w:pPr>
        <w:jc w:val="center"/>
        <w:rPr>
          <w:lang w:val="en-US"/>
        </w:rPr>
      </w:pPr>
    </w:p>
    <w:p w14:paraId="777E5FDE" w14:textId="77777777" w:rsidR="008A625A" w:rsidRDefault="008A625A" w:rsidP="008A625A">
      <w:pPr>
        <w:jc w:val="center"/>
        <w:rPr>
          <w:lang w:val="en-US"/>
        </w:rPr>
      </w:pPr>
      <w:r w:rsidRPr="0088589B">
        <w:rPr>
          <w:lang w:val="en-US"/>
        </w:rPr>
        <w:t>Trading volume measures the number of shares traded during each trading day. The maximum daily volume in the supplied dataset was 208,959,000 shares on 04 October 2017. Large volume values indicate periods of unusually active trading, while lower values indicate relatively lighter activity</w:t>
      </w:r>
    </w:p>
    <w:p w14:paraId="4630C4B4" w14:textId="77777777" w:rsidR="008A625A" w:rsidRDefault="008A625A" w:rsidP="008A625A">
      <w:pPr>
        <w:jc w:val="center"/>
        <w:rPr>
          <w:lang w:val="en-US"/>
        </w:rPr>
      </w:pPr>
      <w:r>
        <w:rPr>
          <w:lang w:val="en-US"/>
        </w:rPr>
        <w:br/>
      </w:r>
      <w:r>
        <w:rPr>
          <w:lang w:val="en-US"/>
        </w:rPr>
        <w:tab/>
      </w:r>
    </w:p>
    <w:p w14:paraId="57F70D5F" w14:textId="77777777" w:rsidR="008A625A" w:rsidRDefault="008A625A" w:rsidP="008A625A">
      <w:pPr>
        <w:rPr>
          <w:lang w:val="en-US"/>
        </w:rPr>
      </w:pPr>
      <w:r>
        <w:rPr>
          <w:lang w:val="en-US"/>
        </w:rPr>
        <w:br w:type="page"/>
      </w:r>
    </w:p>
    <w:p w14:paraId="3BC8E980" w14:textId="77777777" w:rsidR="008A625A" w:rsidRDefault="008A625A" w:rsidP="008A625A">
      <w:pPr>
        <w:jc w:val="center"/>
        <w:rPr>
          <w:lang w:val="en-US"/>
        </w:rPr>
      </w:pPr>
      <w:r>
        <w:rPr>
          <w:noProof/>
        </w:rPr>
        <w:lastRenderedPageBreak/>
        <w:drawing>
          <wp:inline distT="0" distB="0" distL="0" distR="0" wp14:anchorId="5BB6E989" wp14:editId="132A1A65">
            <wp:extent cx="5731510" cy="2865755"/>
            <wp:effectExtent l="0" t="0" r="2540" b="0"/>
            <wp:docPr id="1523217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5B2B43C" w14:textId="77777777" w:rsidR="008A625A" w:rsidRPr="00CC35FC" w:rsidRDefault="008A625A" w:rsidP="008A625A">
      <w:pPr>
        <w:rPr>
          <w:lang w:val="en-US"/>
        </w:rPr>
      </w:pPr>
    </w:p>
    <w:p w14:paraId="53B92861" w14:textId="77777777" w:rsidR="008A625A" w:rsidRDefault="008A625A" w:rsidP="008A625A">
      <w:pPr>
        <w:rPr>
          <w:lang w:val="en-US"/>
        </w:rPr>
      </w:pPr>
    </w:p>
    <w:p w14:paraId="014EEF21" w14:textId="77777777" w:rsidR="008A625A" w:rsidRPr="00CC35FC" w:rsidRDefault="008A625A" w:rsidP="008A625A">
      <w:pPr>
        <w:jc w:val="center"/>
        <w:rPr>
          <w:lang w:val="en-US"/>
        </w:rPr>
      </w:pPr>
      <w:r w:rsidRPr="00CC35FC">
        <w:rPr>
          <w:lang w:val="en-US"/>
        </w:rPr>
        <w:t>Section 4 – Moving Average Analysis</w:t>
      </w:r>
    </w:p>
    <w:p w14:paraId="4C3868F4" w14:textId="77777777" w:rsidR="008A625A" w:rsidRPr="00CC35FC" w:rsidRDefault="008A625A" w:rsidP="008A625A">
      <w:pPr>
        <w:jc w:val="center"/>
        <w:rPr>
          <w:lang w:val="en-US"/>
        </w:rPr>
      </w:pPr>
    </w:p>
    <w:p w14:paraId="2B1F39AD" w14:textId="77777777" w:rsidR="008A625A" w:rsidRDefault="008A625A" w:rsidP="008A625A">
      <w:pPr>
        <w:jc w:val="center"/>
        <w:rPr>
          <w:lang w:val="en-US"/>
        </w:rPr>
      </w:pPr>
      <w:r w:rsidRPr="00CC35FC">
        <w:rPr>
          <w:lang w:val="en-US"/>
        </w:rPr>
        <w:t>A moving average smooths short-term price fluctuations and helps show the underlying direction of the series. This analysis uses a 20-day simple moving average (20-Day SMA) and a 50-day simple moving average (50-Day SMA). The 20-day SMA responds more quickly to recent price changes, while the 50-day SMA provides a broader view.</w:t>
      </w:r>
    </w:p>
    <w:p w14:paraId="67F46967" w14:textId="77777777" w:rsidR="008A625A" w:rsidRDefault="008A625A" w:rsidP="008A625A">
      <w:pPr>
        <w:rPr>
          <w:lang w:val="en-US"/>
        </w:rPr>
      </w:pPr>
      <w:r>
        <w:rPr>
          <w:lang w:val="en-US"/>
        </w:rPr>
        <w:br w:type="page"/>
      </w:r>
    </w:p>
    <w:p w14:paraId="267C802B" w14:textId="77777777" w:rsidR="008A625A" w:rsidRDefault="008A625A" w:rsidP="008A625A">
      <w:pPr>
        <w:jc w:val="center"/>
        <w:rPr>
          <w:lang w:val="en-US"/>
        </w:rPr>
      </w:pPr>
      <w:r>
        <w:rPr>
          <w:noProof/>
        </w:rPr>
        <w:lastRenderedPageBreak/>
        <w:drawing>
          <wp:inline distT="0" distB="0" distL="0" distR="0" wp14:anchorId="51433E33" wp14:editId="1BB61C7F">
            <wp:extent cx="5731510" cy="2865755"/>
            <wp:effectExtent l="0" t="0" r="2540" b="0"/>
            <wp:docPr id="438030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14DACBE" w14:textId="77777777" w:rsidR="008A625A" w:rsidRDefault="008A625A" w:rsidP="008A625A">
      <w:pPr>
        <w:rPr>
          <w:lang w:val="en-US"/>
        </w:rPr>
      </w:pPr>
    </w:p>
    <w:p w14:paraId="6BE8B48F" w14:textId="77777777" w:rsidR="008A625A" w:rsidRPr="00376ABA" w:rsidRDefault="008A625A" w:rsidP="008A625A">
      <w:pPr>
        <w:jc w:val="center"/>
        <w:rPr>
          <w:lang w:val="en-US"/>
        </w:rPr>
      </w:pPr>
      <w:r w:rsidRPr="00376ABA">
        <w:rPr>
          <w:lang w:val="en-US"/>
        </w:rPr>
        <w:t>Section 5 – Return Distribution</w:t>
      </w:r>
    </w:p>
    <w:p w14:paraId="5963D359" w14:textId="77777777" w:rsidR="008A625A" w:rsidRPr="00376ABA" w:rsidRDefault="008A625A" w:rsidP="008A625A">
      <w:pPr>
        <w:jc w:val="center"/>
        <w:rPr>
          <w:lang w:val="en-US"/>
        </w:rPr>
      </w:pPr>
    </w:p>
    <w:p w14:paraId="65AFF1D8" w14:textId="77777777" w:rsidR="008A625A" w:rsidRDefault="008A625A" w:rsidP="008A625A">
      <w:pPr>
        <w:jc w:val="center"/>
        <w:rPr>
          <w:lang w:val="en-US"/>
        </w:rPr>
      </w:pPr>
      <w:r w:rsidRPr="00376ABA">
        <w:rPr>
          <w:lang w:val="en-US"/>
        </w:rPr>
        <w:t>Daily returns were calculated as (Today's Close / Previous Trading Day's Close) − 1. The average daily return was 0.215%, the median was 0.204%, and the daily standard deviation was 3.712%. There were 1,313 positive-return days and 1,149 negative-return days.</w:t>
      </w:r>
    </w:p>
    <w:p w14:paraId="29DDD69E" w14:textId="77777777" w:rsidR="008A625A" w:rsidRDefault="008A625A" w:rsidP="008A625A">
      <w:pPr>
        <w:rPr>
          <w:lang w:val="en-US"/>
        </w:rPr>
      </w:pPr>
      <w:r>
        <w:rPr>
          <w:lang w:val="en-US"/>
        </w:rPr>
        <w:br w:type="page"/>
      </w:r>
    </w:p>
    <w:p w14:paraId="3E7F3B7F" w14:textId="77777777" w:rsidR="008A625A" w:rsidRDefault="008A625A" w:rsidP="008A625A">
      <w:pPr>
        <w:jc w:val="center"/>
        <w:rPr>
          <w:lang w:val="en-US"/>
        </w:rPr>
      </w:pPr>
      <w:r>
        <w:rPr>
          <w:noProof/>
        </w:rPr>
        <w:lastRenderedPageBreak/>
        <w:drawing>
          <wp:inline distT="0" distB="0" distL="0" distR="0" wp14:anchorId="346FF22E" wp14:editId="45AA9179">
            <wp:extent cx="5731510" cy="2865755"/>
            <wp:effectExtent l="0" t="0" r="2540" b="0"/>
            <wp:docPr id="1351301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21A57A5" w14:textId="77777777" w:rsidR="008A625A" w:rsidRDefault="008A625A" w:rsidP="008A625A">
      <w:pPr>
        <w:rPr>
          <w:lang w:val="en-US"/>
        </w:rPr>
      </w:pPr>
    </w:p>
    <w:p w14:paraId="37A12CFC" w14:textId="77777777" w:rsidR="008A625A" w:rsidRPr="00CA4D3D" w:rsidRDefault="008A625A" w:rsidP="008A625A">
      <w:pPr>
        <w:jc w:val="center"/>
        <w:rPr>
          <w:lang w:val="en-US"/>
        </w:rPr>
      </w:pPr>
      <w:r w:rsidRPr="00CA4D3D">
        <w:rPr>
          <w:lang w:val="en-US"/>
        </w:rPr>
        <w:t>Section 6 – Volatility Analysis</w:t>
      </w:r>
    </w:p>
    <w:p w14:paraId="3D47836F" w14:textId="77777777" w:rsidR="008A625A" w:rsidRPr="00CA4D3D" w:rsidRDefault="008A625A" w:rsidP="008A625A">
      <w:pPr>
        <w:jc w:val="center"/>
        <w:rPr>
          <w:lang w:val="en-US"/>
        </w:rPr>
      </w:pPr>
    </w:p>
    <w:p w14:paraId="7B8A0287" w14:textId="77777777" w:rsidR="008A625A" w:rsidRDefault="008A625A" w:rsidP="008A625A">
      <w:pPr>
        <w:jc w:val="center"/>
        <w:rPr>
          <w:lang w:val="en-US"/>
        </w:rPr>
      </w:pPr>
      <w:r w:rsidRPr="00CA4D3D">
        <w:rPr>
          <w:lang w:val="en-US"/>
        </w:rPr>
        <w:t>The standard deviation of daily returns was 3.71%, corresponding to an annualized volatility of approximately 58.93% using √252. For identifying individual high-volatility days, the analysis ranks observations by absolute daily return.</w:t>
      </w:r>
    </w:p>
    <w:p w14:paraId="788FE0A3" w14:textId="77777777" w:rsidR="008A625A" w:rsidRDefault="008A625A" w:rsidP="008A625A">
      <w:pPr>
        <w:rPr>
          <w:lang w:val="en-US"/>
        </w:rPr>
      </w:pPr>
      <w:r>
        <w:rPr>
          <w:lang w:val="en-US"/>
        </w:rPr>
        <w:br w:type="page"/>
      </w:r>
    </w:p>
    <w:p w14:paraId="42A9C720" w14:textId="77777777" w:rsidR="008A625A" w:rsidRDefault="008A625A" w:rsidP="008A625A">
      <w:pPr>
        <w:jc w:val="center"/>
        <w:rPr>
          <w:lang w:val="en-US"/>
        </w:rPr>
      </w:pPr>
      <w:r>
        <w:rPr>
          <w:noProof/>
        </w:rPr>
        <w:lastRenderedPageBreak/>
        <w:drawing>
          <wp:inline distT="0" distB="0" distL="0" distR="0" wp14:anchorId="3B9BA2BA" wp14:editId="5CBE9641">
            <wp:extent cx="5731510" cy="2865755"/>
            <wp:effectExtent l="0" t="0" r="2540" b="0"/>
            <wp:docPr id="1309041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648DE7C" w14:textId="77777777" w:rsidR="008A625A" w:rsidRPr="00832989" w:rsidRDefault="008A625A" w:rsidP="008A625A">
      <w:pPr>
        <w:jc w:val="center"/>
        <w:rPr>
          <w:lang w:val="en-US"/>
        </w:rPr>
      </w:pPr>
      <w:r w:rsidRPr="00832989">
        <w:rPr>
          <w:lang w:val="en-US"/>
        </w:rPr>
        <w:t>Top 5 largest positive daily returns:</w:t>
      </w:r>
    </w:p>
    <w:p w14:paraId="348BF5F1" w14:textId="77777777" w:rsidR="008A625A" w:rsidRPr="00832989" w:rsidRDefault="008A625A" w:rsidP="008A625A">
      <w:pPr>
        <w:jc w:val="center"/>
        <w:rPr>
          <w:lang w:val="en-US"/>
        </w:rPr>
      </w:pPr>
    </w:p>
    <w:p w14:paraId="7866EF8C" w14:textId="77777777" w:rsidR="008A625A" w:rsidRPr="00832989" w:rsidRDefault="008A625A" w:rsidP="008A625A">
      <w:pPr>
        <w:jc w:val="center"/>
        <w:rPr>
          <w:lang w:val="en-US"/>
        </w:rPr>
      </w:pPr>
      <w:r w:rsidRPr="00832989">
        <w:rPr>
          <w:lang w:val="en-US"/>
        </w:rPr>
        <w:t>04 May 2023: 23.84% (close $57.30)</w:t>
      </w:r>
    </w:p>
    <w:p w14:paraId="2000B543" w14:textId="77777777" w:rsidR="008A625A" w:rsidRPr="00832989" w:rsidRDefault="008A625A" w:rsidP="008A625A">
      <w:pPr>
        <w:jc w:val="center"/>
        <w:rPr>
          <w:lang w:val="en-US"/>
        </w:rPr>
      </w:pPr>
    </w:p>
    <w:p w14:paraId="5636984A" w14:textId="77777777" w:rsidR="008A625A" w:rsidRPr="00832989" w:rsidRDefault="008A625A" w:rsidP="008A625A">
      <w:pPr>
        <w:jc w:val="center"/>
        <w:rPr>
          <w:lang w:val="en-US"/>
        </w:rPr>
      </w:pPr>
      <w:r w:rsidRPr="00832989">
        <w:rPr>
          <w:lang w:val="en-US"/>
        </w:rPr>
        <w:t>17 Sep 2015: 22.97% (close $3.56)</w:t>
      </w:r>
    </w:p>
    <w:p w14:paraId="077D3DA1" w14:textId="77777777" w:rsidR="008A625A" w:rsidRPr="00832989" w:rsidRDefault="008A625A" w:rsidP="008A625A">
      <w:pPr>
        <w:jc w:val="center"/>
        <w:rPr>
          <w:lang w:val="en-US"/>
        </w:rPr>
      </w:pPr>
    </w:p>
    <w:p w14:paraId="6AB20ECB" w14:textId="77777777" w:rsidR="008A625A" w:rsidRPr="00832989" w:rsidRDefault="008A625A" w:rsidP="008A625A">
      <w:pPr>
        <w:jc w:val="center"/>
        <w:rPr>
          <w:lang w:val="en-US"/>
        </w:rPr>
      </w:pPr>
      <w:r w:rsidRPr="00832989">
        <w:rPr>
          <w:lang w:val="en-US"/>
        </w:rPr>
        <w:t>02 Nov 2023: 22.36% (close $59.70)</w:t>
      </w:r>
    </w:p>
    <w:p w14:paraId="4BEE829F" w14:textId="77777777" w:rsidR="008A625A" w:rsidRPr="00832989" w:rsidRDefault="008A625A" w:rsidP="008A625A">
      <w:pPr>
        <w:jc w:val="center"/>
        <w:rPr>
          <w:lang w:val="en-US"/>
        </w:rPr>
      </w:pPr>
    </w:p>
    <w:p w14:paraId="1815F7CA" w14:textId="77777777" w:rsidR="008A625A" w:rsidRPr="00832989" w:rsidRDefault="008A625A" w:rsidP="008A625A">
      <w:pPr>
        <w:jc w:val="center"/>
        <w:rPr>
          <w:lang w:val="en-US"/>
        </w:rPr>
      </w:pPr>
      <w:r w:rsidRPr="00832989">
        <w:rPr>
          <w:lang w:val="en-US"/>
        </w:rPr>
        <w:t>12 Nov 2024: 21.04% (close $108.92)</w:t>
      </w:r>
    </w:p>
    <w:p w14:paraId="1DCFB4AF" w14:textId="77777777" w:rsidR="008A625A" w:rsidRPr="00832989" w:rsidRDefault="008A625A" w:rsidP="008A625A">
      <w:pPr>
        <w:jc w:val="center"/>
        <w:rPr>
          <w:lang w:val="en-US"/>
        </w:rPr>
      </w:pPr>
    </w:p>
    <w:p w14:paraId="44536F2C" w14:textId="77777777" w:rsidR="008A625A" w:rsidRPr="00832989" w:rsidRDefault="008A625A" w:rsidP="008A625A">
      <w:pPr>
        <w:jc w:val="center"/>
        <w:rPr>
          <w:lang w:val="en-US"/>
        </w:rPr>
      </w:pPr>
      <w:r w:rsidRPr="00832989">
        <w:rPr>
          <w:lang w:val="en-US"/>
        </w:rPr>
        <w:t>18 Mar 2022: 18.65% (close $78.00)</w:t>
      </w:r>
    </w:p>
    <w:p w14:paraId="4FDCBD68" w14:textId="77777777" w:rsidR="008A625A" w:rsidRPr="00832989" w:rsidRDefault="008A625A" w:rsidP="008A625A">
      <w:pPr>
        <w:jc w:val="center"/>
        <w:rPr>
          <w:lang w:val="en-US"/>
        </w:rPr>
      </w:pPr>
    </w:p>
    <w:p w14:paraId="625B1120" w14:textId="77777777" w:rsidR="008A625A" w:rsidRPr="00832989" w:rsidRDefault="008A625A" w:rsidP="008A625A">
      <w:pPr>
        <w:jc w:val="center"/>
        <w:rPr>
          <w:lang w:val="en-US"/>
        </w:rPr>
      </w:pPr>
      <w:r w:rsidRPr="00832989">
        <w:rPr>
          <w:lang w:val="en-US"/>
        </w:rPr>
        <w:t>Top 5 largest negative daily returns:</w:t>
      </w:r>
    </w:p>
    <w:p w14:paraId="5AACEA5D" w14:textId="77777777" w:rsidR="008A625A" w:rsidRPr="00832989" w:rsidRDefault="008A625A" w:rsidP="008A625A">
      <w:pPr>
        <w:jc w:val="center"/>
        <w:rPr>
          <w:lang w:val="en-US"/>
        </w:rPr>
      </w:pPr>
    </w:p>
    <w:p w14:paraId="36A7E7A6" w14:textId="77777777" w:rsidR="008A625A" w:rsidRPr="00832989" w:rsidRDefault="008A625A" w:rsidP="008A625A">
      <w:pPr>
        <w:jc w:val="center"/>
        <w:rPr>
          <w:lang w:val="en-US"/>
        </w:rPr>
      </w:pPr>
      <w:r w:rsidRPr="00832989">
        <w:rPr>
          <w:lang w:val="en-US"/>
        </w:rPr>
        <w:t>08 May 2024: -18.59% (close $62.73)</w:t>
      </w:r>
    </w:p>
    <w:p w14:paraId="626E9A6D" w14:textId="77777777" w:rsidR="008A625A" w:rsidRPr="00832989" w:rsidRDefault="008A625A" w:rsidP="008A625A">
      <w:pPr>
        <w:jc w:val="center"/>
        <w:rPr>
          <w:lang w:val="en-US"/>
        </w:rPr>
      </w:pPr>
    </w:p>
    <w:p w14:paraId="4827409B" w14:textId="77777777" w:rsidR="008A625A" w:rsidRPr="00832989" w:rsidRDefault="008A625A" w:rsidP="008A625A">
      <w:pPr>
        <w:jc w:val="center"/>
        <w:rPr>
          <w:lang w:val="en-US"/>
        </w:rPr>
      </w:pPr>
      <w:r w:rsidRPr="00832989">
        <w:rPr>
          <w:lang w:val="en-US"/>
        </w:rPr>
        <w:t>16 Mar 2020: -17.55% (close $32.23)</w:t>
      </w:r>
    </w:p>
    <w:p w14:paraId="24E66190" w14:textId="77777777" w:rsidR="008A625A" w:rsidRPr="00832989" w:rsidRDefault="008A625A" w:rsidP="008A625A">
      <w:pPr>
        <w:jc w:val="center"/>
        <w:rPr>
          <w:lang w:val="en-US"/>
        </w:rPr>
      </w:pPr>
    </w:p>
    <w:p w14:paraId="35399054" w14:textId="77777777" w:rsidR="008A625A" w:rsidRPr="00832989" w:rsidRDefault="008A625A" w:rsidP="008A625A">
      <w:pPr>
        <w:jc w:val="center"/>
        <w:rPr>
          <w:lang w:val="en-US"/>
        </w:rPr>
      </w:pPr>
      <w:r w:rsidRPr="00832989">
        <w:rPr>
          <w:lang w:val="en-US"/>
        </w:rPr>
        <w:lastRenderedPageBreak/>
        <w:t>16 Feb 2022: -16.04% (close $74.68)</w:t>
      </w:r>
    </w:p>
    <w:p w14:paraId="7C62B723" w14:textId="77777777" w:rsidR="008A625A" w:rsidRPr="00832989" w:rsidRDefault="008A625A" w:rsidP="008A625A">
      <w:pPr>
        <w:jc w:val="center"/>
        <w:rPr>
          <w:lang w:val="en-US"/>
        </w:rPr>
      </w:pPr>
    </w:p>
    <w:p w14:paraId="7218A4A3" w14:textId="77777777" w:rsidR="008A625A" w:rsidRPr="00832989" w:rsidRDefault="008A625A" w:rsidP="008A625A">
      <w:pPr>
        <w:jc w:val="center"/>
        <w:rPr>
          <w:lang w:val="en-US"/>
        </w:rPr>
      </w:pPr>
      <w:r w:rsidRPr="00832989">
        <w:rPr>
          <w:lang w:val="en-US"/>
        </w:rPr>
        <w:t>16 Feb 2023: -15.88% (close $44.91)</w:t>
      </w:r>
    </w:p>
    <w:p w14:paraId="3670E2D9" w14:textId="77777777" w:rsidR="008A625A" w:rsidRPr="00832989" w:rsidRDefault="008A625A" w:rsidP="008A625A">
      <w:pPr>
        <w:jc w:val="center"/>
        <w:rPr>
          <w:lang w:val="en-US"/>
        </w:rPr>
      </w:pPr>
    </w:p>
    <w:p w14:paraId="23BB6C63" w14:textId="77777777" w:rsidR="008A625A" w:rsidRPr="00832989" w:rsidRDefault="008A625A" w:rsidP="008A625A">
      <w:pPr>
        <w:jc w:val="center"/>
        <w:rPr>
          <w:lang w:val="en-US"/>
        </w:rPr>
      </w:pPr>
      <w:r w:rsidRPr="00832989">
        <w:rPr>
          <w:lang w:val="en-US"/>
        </w:rPr>
        <w:t>05 May 2022: -14.91% (close $41.31)</w:t>
      </w:r>
    </w:p>
    <w:p w14:paraId="6839C55D" w14:textId="77777777" w:rsidR="008A625A" w:rsidRPr="00832989" w:rsidRDefault="008A625A" w:rsidP="008A625A">
      <w:pPr>
        <w:jc w:val="center"/>
        <w:rPr>
          <w:lang w:val="en-US"/>
        </w:rPr>
      </w:pPr>
    </w:p>
    <w:p w14:paraId="0B5571DB" w14:textId="77777777" w:rsidR="008A625A" w:rsidRPr="00832989" w:rsidRDefault="008A625A" w:rsidP="008A625A">
      <w:pPr>
        <w:jc w:val="center"/>
        <w:rPr>
          <w:lang w:val="en-US"/>
        </w:rPr>
      </w:pPr>
      <w:r w:rsidRPr="00832989">
        <w:rPr>
          <w:lang w:val="en-US"/>
        </w:rPr>
        <w:t>Section 7 – Key Financial Insights</w:t>
      </w:r>
    </w:p>
    <w:p w14:paraId="67FD95B4" w14:textId="77777777" w:rsidR="008A625A" w:rsidRPr="00832989" w:rsidRDefault="008A625A" w:rsidP="008A625A">
      <w:pPr>
        <w:jc w:val="center"/>
        <w:rPr>
          <w:lang w:val="en-US"/>
        </w:rPr>
      </w:pPr>
    </w:p>
    <w:p w14:paraId="06650E9C" w14:textId="77777777" w:rsidR="008A625A" w:rsidRPr="00832989" w:rsidRDefault="008A625A" w:rsidP="008A625A">
      <w:pPr>
        <w:jc w:val="center"/>
        <w:rPr>
          <w:lang w:val="en-US"/>
        </w:rPr>
      </w:pPr>
      <w:r w:rsidRPr="00832989">
        <w:rPr>
          <w:lang w:val="en-US"/>
        </w:rPr>
        <w:t>The closing price increased from $2.57 to $94.85 across the supplied period, a cumulative change of 3593.54%.</w:t>
      </w:r>
    </w:p>
    <w:p w14:paraId="6DEE1F95" w14:textId="77777777" w:rsidR="008A625A" w:rsidRPr="00832989" w:rsidRDefault="008A625A" w:rsidP="008A625A">
      <w:pPr>
        <w:jc w:val="center"/>
        <w:rPr>
          <w:lang w:val="en-US"/>
        </w:rPr>
      </w:pPr>
    </w:p>
    <w:p w14:paraId="633E77B6" w14:textId="77777777" w:rsidR="008A625A" w:rsidRPr="00832989" w:rsidRDefault="008A625A" w:rsidP="008A625A">
      <w:pPr>
        <w:jc w:val="center"/>
        <w:rPr>
          <w:lang w:val="en-US"/>
        </w:rPr>
      </w:pPr>
      <w:r w:rsidRPr="00832989">
        <w:rPr>
          <w:lang w:val="en-US"/>
        </w:rPr>
        <w:t>The dataset's maximum closing price was $169.06 on 19 November 2021; the minimum was $1.93 on 12 February 2016.</w:t>
      </w:r>
    </w:p>
    <w:p w14:paraId="6E836033" w14:textId="77777777" w:rsidR="008A625A" w:rsidRPr="00832989" w:rsidRDefault="008A625A" w:rsidP="008A625A">
      <w:pPr>
        <w:jc w:val="center"/>
        <w:rPr>
          <w:lang w:val="en-US"/>
        </w:rPr>
      </w:pPr>
    </w:p>
    <w:p w14:paraId="410E71A0" w14:textId="77777777" w:rsidR="008A625A" w:rsidRPr="00832989" w:rsidRDefault="008A625A" w:rsidP="008A625A">
      <w:pPr>
        <w:jc w:val="center"/>
        <w:rPr>
          <w:lang w:val="en-US"/>
        </w:rPr>
      </w:pPr>
      <w:r w:rsidRPr="00832989">
        <w:rPr>
          <w:lang w:val="en-US"/>
        </w:rPr>
        <w:t>The largest daily positive return was 23.84% on 04 May 2023, while the largest daily negative return was -18.59% on 08 May 2024.</w:t>
      </w:r>
    </w:p>
    <w:p w14:paraId="6229CC95" w14:textId="77777777" w:rsidR="008A625A" w:rsidRPr="00832989" w:rsidRDefault="008A625A" w:rsidP="008A625A">
      <w:pPr>
        <w:jc w:val="center"/>
        <w:rPr>
          <w:lang w:val="en-US"/>
        </w:rPr>
      </w:pPr>
    </w:p>
    <w:p w14:paraId="789A5893" w14:textId="77777777" w:rsidR="008A625A" w:rsidRPr="00832989" w:rsidRDefault="008A625A" w:rsidP="008A625A">
      <w:pPr>
        <w:jc w:val="center"/>
        <w:rPr>
          <w:lang w:val="en-US"/>
        </w:rPr>
      </w:pPr>
      <w:r w:rsidRPr="00832989">
        <w:rPr>
          <w:lang w:val="en-US"/>
        </w:rPr>
        <w:t>The maximum daily trading volume was 208,959,000 shares on 04 October 2017, showing a day of unusually active trading in the supplied data.</w:t>
      </w:r>
    </w:p>
    <w:p w14:paraId="5445078C" w14:textId="77777777" w:rsidR="008A625A" w:rsidRPr="00832989" w:rsidRDefault="008A625A" w:rsidP="008A625A">
      <w:pPr>
        <w:jc w:val="center"/>
        <w:rPr>
          <w:lang w:val="en-US"/>
        </w:rPr>
      </w:pPr>
    </w:p>
    <w:p w14:paraId="773F6158" w14:textId="77777777" w:rsidR="008A625A" w:rsidRPr="00832989" w:rsidRDefault="008A625A" w:rsidP="008A625A">
      <w:pPr>
        <w:jc w:val="center"/>
        <w:rPr>
          <w:lang w:val="en-US"/>
        </w:rPr>
      </w:pPr>
      <w:r w:rsidRPr="00832989">
        <w:rPr>
          <w:lang w:val="en-US"/>
        </w:rPr>
        <w:t>The maximum peak-to-trough drawdown in the sample was 84.82%, from the peak on 19 November 2021 to the trough on 11 October 2022.</w:t>
      </w:r>
    </w:p>
    <w:p w14:paraId="558664DA" w14:textId="77777777" w:rsidR="008A625A" w:rsidRPr="00832989" w:rsidRDefault="008A625A" w:rsidP="008A625A">
      <w:pPr>
        <w:jc w:val="center"/>
        <w:rPr>
          <w:lang w:val="en-US"/>
        </w:rPr>
      </w:pPr>
    </w:p>
    <w:p w14:paraId="1FD7F104" w14:textId="77777777" w:rsidR="008A625A" w:rsidRPr="00832989" w:rsidRDefault="008A625A" w:rsidP="008A625A">
      <w:pPr>
        <w:jc w:val="center"/>
        <w:rPr>
          <w:lang w:val="en-US"/>
        </w:rPr>
      </w:pPr>
      <w:r w:rsidRPr="00832989">
        <w:rPr>
          <w:lang w:val="en-US"/>
        </w:rPr>
        <w:t>The 20-day and 50-day SMAs provide different smoothing horizons: the 20-day average reacts faster to recent movements, while the 50-day average changes more gradually.</w:t>
      </w:r>
    </w:p>
    <w:p w14:paraId="3A45D68F" w14:textId="77777777" w:rsidR="008A625A" w:rsidRPr="00832989" w:rsidRDefault="008A625A" w:rsidP="008A625A">
      <w:pPr>
        <w:jc w:val="center"/>
        <w:rPr>
          <w:lang w:val="en-US"/>
        </w:rPr>
      </w:pPr>
    </w:p>
    <w:p w14:paraId="2444F6F4" w14:textId="77777777" w:rsidR="008A625A" w:rsidRPr="00832989" w:rsidRDefault="008A625A" w:rsidP="008A625A">
      <w:pPr>
        <w:jc w:val="center"/>
        <w:rPr>
          <w:lang w:val="en-US"/>
        </w:rPr>
      </w:pPr>
      <w:r w:rsidRPr="00832989">
        <w:rPr>
          <w:lang w:val="en-US"/>
        </w:rPr>
        <w:t>Section 8 – Conclusion</w:t>
      </w:r>
    </w:p>
    <w:p w14:paraId="04C2C1AA" w14:textId="77777777" w:rsidR="008A625A" w:rsidRPr="00832989" w:rsidRDefault="008A625A" w:rsidP="008A625A">
      <w:pPr>
        <w:jc w:val="center"/>
        <w:rPr>
          <w:lang w:val="en-US"/>
        </w:rPr>
      </w:pPr>
    </w:p>
    <w:p w14:paraId="3E8C5420" w14:textId="77777777" w:rsidR="008A625A" w:rsidRPr="00832989" w:rsidRDefault="008A625A" w:rsidP="008A625A">
      <w:pPr>
        <w:jc w:val="center"/>
        <w:rPr>
          <w:lang w:val="en-US"/>
        </w:rPr>
      </w:pPr>
      <w:r w:rsidRPr="00832989">
        <w:rPr>
          <w:lang w:val="en-US"/>
        </w:rPr>
        <w:t xml:space="preserve">The supplied SHOP data shows a long history of substantial price movement, including periods of strong appreciation, sharp declines, and elevated volatility. The closing-price </w:t>
      </w:r>
      <w:r w:rsidRPr="00832989">
        <w:rPr>
          <w:lang w:val="en-US"/>
        </w:rPr>
        <w:lastRenderedPageBreak/>
        <w:t>chart describes the long-term path, trading volume highlights periods of active market participation, moving averages smooth short-term fluctuations, and return/volatility analysis quantifies day-to-day variability. Together, these measures provide a structured description of the stock's historical behavior during the supplied period. Historical performance and volatility do not by themselves determine future results.</w:t>
      </w:r>
    </w:p>
    <w:p w14:paraId="54008012" w14:textId="77777777" w:rsidR="00E35281" w:rsidRDefault="00E35281"/>
    <w:sectPr w:rsidR="00E35281" w:rsidSect="008A625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5A"/>
    <w:rsid w:val="00314BC7"/>
    <w:rsid w:val="008A625A"/>
    <w:rsid w:val="00BF7865"/>
    <w:rsid w:val="00E35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FD6B"/>
  <w15:chartTrackingRefBased/>
  <w15:docId w15:val="{E8C9BB89-E4F7-44B3-BEA3-98366EFA8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5A"/>
  </w:style>
  <w:style w:type="paragraph" w:styleId="Heading1">
    <w:name w:val="heading 1"/>
    <w:basedOn w:val="Normal"/>
    <w:next w:val="Normal"/>
    <w:link w:val="Heading1Char"/>
    <w:uiPriority w:val="9"/>
    <w:qFormat/>
    <w:rsid w:val="008A6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25A"/>
    <w:rPr>
      <w:rFonts w:eastAsiaTheme="majorEastAsia" w:cstheme="majorBidi"/>
      <w:color w:val="272727" w:themeColor="text1" w:themeTint="D8"/>
    </w:rPr>
  </w:style>
  <w:style w:type="paragraph" w:styleId="Title">
    <w:name w:val="Title"/>
    <w:basedOn w:val="Normal"/>
    <w:next w:val="Normal"/>
    <w:link w:val="TitleChar"/>
    <w:uiPriority w:val="10"/>
    <w:qFormat/>
    <w:rsid w:val="008A6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25A"/>
    <w:pPr>
      <w:spacing w:before="160"/>
      <w:jc w:val="center"/>
    </w:pPr>
    <w:rPr>
      <w:i/>
      <w:iCs/>
      <w:color w:val="404040" w:themeColor="text1" w:themeTint="BF"/>
    </w:rPr>
  </w:style>
  <w:style w:type="character" w:customStyle="1" w:styleId="QuoteChar">
    <w:name w:val="Quote Char"/>
    <w:basedOn w:val="DefaultParagraphFont"/>
    <w:link w:val="Quote"/>
    <w:uiPriority w:val="29"/>
    <w:rsid w:val="008A625A"/>
    <w:rPr>
      <w:i/>
      <w:iCs/>
      <w:color w:val="404040" w:themeColor="text1" w:themeTint="BF"/>
    </w:rPr>
  </w:style>
  <w:style w:type="paragraph" w:styleId="ListParagraph">
    <w:name w:val="List Paragraph"/>
    <w:basedOn w:val="Normal"/>
    <w:uiPriority w:val="34"/>
    <w:qFormat/>
    <w:rsid w:val="008A625A"/>
    <w:pPr>
      <w:ind w:left="720"/>
      <w:contextualSpacing/>
    </w:pPr>
  </w:style>
  <w:style w:type="character" w:styleId="IntenseEmphasis">
    <w:name w:val="Intense Emphasis"/>
    <w:basedOn w:val="DefaultParagraphFont"/>
    <w:uiPriority w:val="21"/>
    <w:qFormat/>
    <w:rsid w:val="008A625A"/>
    <w:rPr>
      <w:i/>
      <w:iCs/>
      <w:color w:val="0F4761" w:themeColor="accent1" w:themeShade="BF"/>
    </w:rPr>
  </w:style>
  <w:style w:type="paragraph" w:styleId="IntenseQuote">
    <w:name w:val="Intense Quote"/>
    <w:basedOn w:val="Normal"/>
    <w:next w:val="Normal"/>
    <w:link w:val="IntenseQuoteChar"/>
    <w:uiPriority w:val="30"/>
    <w:qFormat/>
    <w:rsid w:val="008A6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25A"/>
    <w:rPr>
      <w:i/>
      <w:iCs/>
      <w:color w:val="0F4761" w:themeColor="accent1" w:themeShade="BF"/>
    </w:rPr>
  </w:style>
  <w:style w:type="character" w:styleId="IntenseReference">
    <w:name w:val="Intense Reference"/>
    <w:basedOn w:val="DefaultParagraphFont"/>
    <w:uiPriority w:val="32"/>
    <w:qFormat/>
    <w:rsid w:val="008A625A"/>
    <w:rPr>
      <w:b/>
      <w:bCs/>
      <w:smallCaps/>
      <w:color w:val="0F4761" w:themeColor="accent1" w:themeShade="BF"/>
      <w:spacing w:val="5"/>
    </w:rPr>
  </w:style>
  <w:style w:type="character" w:styleId="Hyperlink">
    <w:name w:val="Hyperlink"/>
    <w:basedOn w:val="DefaultParagraphFont"/>
    <w:uiPriority w:val="99"/>
    <w:unhideWhenUsed/>
    <w:rsid w:val="008A625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hyperlink" Target="https://colab.research.google.com/drive/1sfnSnl9bKPxLVe6G2tZzwCpN4nGdIYuD?usp=sharing" TargetMode="Externa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623</Words>
  <Characters>3553</Characters>
  <Application>Microsoft Office Word</Application>
  <DocSecurity>0</DocSecurity>
  <Lines>29</Lines>
  <Paragraphs>8</Paragraphs>
  <ScaleCrop>false</ScaleCrop>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 thirumoorthy</dc:creator>
  <cp:keywords/>
  <dc:description/>
  <cp:lastModifiedBy>nithish thirumoorthy</cp:lastModifiedBy>
  <cp:revision>1</cp:revision>
  <dcterms:created xsi:type="dcterms:W3CDTF">2026-09-22T14:07:00Z</dcterms:created>
  <dcterms:modified xsi:type="dcterms:W3CDTF">2026-09-22T14:08:00Z</dcterms:modified>
</cp:coreProperties>
</file>