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Captions and Alt Text — Final Infographic Set</w:t>
      </w:r>
    </w:p>
    <w:p>
      <w:pPr>
        <w:pStyle w:val="Heading1"/>
      </w:pPr>
      <w:r>
        <w:t>Infographic 1 — The E-Waste Challenge</w:t>
      </w:r>
    </w:p>
    <w:p>
      <w:r>
        <w:rPr>
          <w:b/>
        </w:rPr>
        <w:t xml:space="preserve">Caption: </w:t>
      </w:r>
      <w:r>
        <w:t>India generated 1.25 million metric tonnes of e-waste in FY 2023–24 and 1.40 million metric tonnes in FY 2024–25, according to CPCB estimates reported by the Government of India. The selected-year chart shows a rising long-term challenge, with year-to-year variation.</w:t>
      </w:r>
    </w:p>
    <w:p>
      <w:r>
        <w:rPr>
          <w:b/>
        </w:rPr>
        <w:t xml:space="preserve">Alt text: </w:t>
      </w:r>
      <w:r>
        <w:t>A portrait infographic titled “The E-Waste Challenge” presents India's e-waste generation figures for FY 2023–24 (1,254,286.55 metric tonnes) and FY 2024–25 (1,397,955.59 metric tonnes), alongside a comparison chart for selected financial years. It attributes the figures to Government of India / CPCB reporting and highlights the need for responsible e-waste management.</w:t>
      </w:r>
    </w:p>
    <w:p>
      <w:pPr>
        <w:pStyle w:val="Heading1"/>
      </w:pPr>
      <w:r>
        <w:t>Infographic 2 — Why E-Waste Matters</w:t>
      </w:r>
    </w:p>
    <w:p>
      <w:r>
        <w:rPr>
          <w:b/>
        </w:rPr>
        <w:t xml:space="preserve">Caption: </w:t>
      </w:r>
      <w:r>
        <w:t>Unsafe burning, dumping, or dismantling can create risks for people and the environment. Safe collection and authorised recycling help keep e-waste out of ordinary rubbish streams and recover useful materials.</w:t>
      </w:r>
    </w:p>
    <w:p>
      <w:r>
        <w:rPr>
          <w:b/>
        </w:rPr>
        <w:t xml:space="preserve">Alt text: </w:t>
      </w:r>
      <w:r>
        <w:t>A portrait infographic titled “Why E-Waste Matters” contrasts three risks—harmful substances from unsafe burning or dismantling, pollution affecting air, soil and water, and potential health risks for workers or nearby communities—with a three-step safer path: keep e-waste separate, use authorised collection and recycling, and recover valuable materials safely. A source-guidance footer cites WHO, ITU/UNITAR, and CPCB.</w:t>
      </w:r>
    </w:p>
    <w:p>
      <w:pPr>
        <w:pStyle w:val="Heading1"/>
      </w:pPr>
      <w:r>
        <w:t>Infographic 3 — What Students Can Do</w:t>
      </w:r>
    </w:p>
    <w:p>
      <w:r>
        <w:rPr>
          <w:b/>
        </w:rPr>
        <w:t xml:space="preserve">Caption: </w:t>
      </w:r>
      <w:r>
        <w:t>Students can extend device life, keep electronics separate from regular rubbish, protect personal data before handover, use authorised collection channels, and choose durable, repairable devices.</w:t>
      </w:r>
    </w:p>
    <w:p>
      <w:r>
        <w:rPr>
          <w:b/>
        </w:rPr>
        <w:t xml:space="preserve">Alt text: </w:t>
      </w:r>
      <w:r>
        <w:t>A portrait infographic titled “What Students Can Do” shows five actions: repair and reuse devices, separate e-waste from general waste, back up and securely erase personal data, use authorised collection or registered recyclers, and buy durable, repairable technology when possible. It also reminds students to remove SIM and memory cards and check local guidance through the CPCB E-Waste Portal.</w:t>
      </w:r>
    </w:p>
    <w:p>
      <w:r>
        <w:t>Accessibility note: Review alt text after any final edit to the graphics. The descriptions above describe the included project image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