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Decisions</w:t>
      </w:r>
    </w:p>
    <w:p>
      <w:r>
        <w:t>Visual system: portrait infographic series for Indian college students, using a consistent navy / teal / white palette with orange as an attention accent.</w:t>
      </w:r>
    </w:p>
    <w:p>
      <w:pPr>
        <w:pStyle w:val="ListBullet"/>
      </w:pPr>
      <w:r>
        <w:t>Infographic 1 prioritises the two most recent official Indian generation figures and shows selected historical years; FY 2022–23 is omitted from the selected chart rather than inserting an unverified number.</w:t>
      </w:r>
    </w:p>
    <w:p>
      <w:pPr>
        <w:pStyle w:val="ListBullet"/>
      </w:pPr>
      <w:r>
        <w:t>Infographic 2 moves from three risk areas to a safer three-step pathway, avoiding unsupported numeric health claims.</w:t>
      </w:r>
    </w:p>
    <w:p>
      <w:pPr>
        <w:pStyle w:val="ListBullet"/>
      </w:pPr>
      <w:r>
        <w:t>Infographic 3 uses five actionable student behaviours and a personal-data reminder before device handover.</w:t>
      </w:r>
    </w:p>
    <w:p>
      <w:pPr>
        <w:pStyle w:val="ListBullet"/>
      </w:pPr>
      <w:r>
        <w:t>Statistics and source labels are kept separate from AI-generated illustrative imagery.</w:t>
      </w:r>
    </w:p>
    <w:p>
      <w:pPr>
        <w:pStyle w:val="ListBullet"/>
      </w:pPr>
      <w:r>
        <w:t>Alt text states the infographic's message and key details without relying on colour alone.</w:t>
      </w:r>
    </w:p>
    <w:p>
      <w:r>
        <w:t>Check final image legibility and verify source footer URLs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