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Before-and-After Analysis — CAPSTONE 48</w:t>
      </w:r>
    </w:p>
    <w:p>
      <w:r>
        <w:t>Topic: E-Waste in India | Audience: Indian college students</w:t>
      </w:r>
    </w:p>
    <w:p>
      <w:pPr>
        <w:pStyle w:val="Heading1"/>
      </w:pPr>
      <w:r>
        <w:t>Before AI-assisted review</w:t>
      </w:r>
    </w:p>
    <w:p>
      <w:pPr>
        <w:pStyle w:val="ListBullet"/>
      </w:pPr>
      <w:r>
        <w:t>Initial draft used candidate statistics and broad claims before checking the exact source wording.</w:t>
      </w:r>
    </w:p>
    <w:p>
      <w:pPr>
        <w:pStyle w:val="ListBullet"/>
      </w:pPr>
      <w:r>
        <w:t>Visual concepts had incomplete or draft-level text hierarchy, source notes, and alternative text.</w:t>
      </w:r>
    </w:p>
    <w:p>
      <w:pPr>
        <w:pStyle w:val="ListBullet"/>
      </w:pPr>
      <w:r>
        <w:t>Risk: readers could mistake India's 70.71% combined metric for a standalone recycling rate or compare it directly with the global 22.3% indicator.</w:t>
      </w:r>
    </w:p>
    <w:p>
      <w:pPr>
        <w:pStyle w:val="Heading1"/>
      </w:pPr>
      <w:r>
        <w:t>After research, verification, and revision</w:t>
      </w:r>
    </w:p>
    <w:p>
      <w:pPr>
        <w:pStyle w:val="ListBullet"/>
      </w:pPr>
      <w:r>
        <w:t>Five headline claims are logged with source URLs, evidence locations, check status, decisions, and qualifications.</w:t>
      </w:r>
    </w:p>
    <w:p>
      <w:pPr>
        <w:pStyle w:val="ListBullet"/>
      </w:pPr>
      <w:r>
        <w:t>India's FY 2023–24 and FY 2024–25 generation figures are attributed to CPCB estimates reported by the Ministry of Environment, Forest and Climate Change via PIB.</w:t>
      </w:r>
    </w:p>
    <w:p>
      <w:pPr>
        <w:pStyle w:val="ListBullet"/>
      </w:pPr>
      <w:r>
        <w:t>Global 2022 figures are attributed to ITU/UNITAR's Global E-waste Monitor 2024 and clearly labelled as global, not India-specific.</w:t>
      </w:r>
    </w:p>
    <w:p>
      <w:pPr>
        <w:pStyle w:val="ListBullet"/>
      </w:pPr>
      <w:r>
        <w:t>Three portrait infographic files are included: the India challenge, why e-waste matters, and student actions.</w:t>
      </w:r>
    </w:p>
    <w:p>
      <w:pPr>
        <w:pStyle w:val="ListBullet"/>
      </w:pPr>
      <w:r>
        <w:t>Alt text and captions are supplied separately so the final exported artwork can be described accessibly.</w:t>
      </w:r>
    </w:p>
    <w:p>
      <w:pPr>
        <w:pStyle w:val="ListBullet"/>
      </w:pPr>
      <w:r>
        <w:t>Student recommendations emphasise repair/reuse, separation, personal-data protection, and authorised channels.</w:t>
      </w:r>
    </w:p>
    <w:p>
      <w:pPr>
        <w:pStyle w:val="Heading1"/>
      </w:pPr>
      <w:r>
        <w:t>What improved</w:t>
      </w:r>
    </w:p>
    <w:p>
      <w:r>
        <w:t>Accuracy improved through original-source checking and careful metric labels; clarity improved through a consistent navy/teal/white palette and short sections; accessibility improved through concise alt text; usefulness improved by ending with actions students can take.</w:t>
      </w:r>
    </w:p>
    <w:p>
      <w:pPr>
        <w:pStyle w:val="Heading1"/>
      </w:pPr>
      <w:r>
        <w:t>Remaining limitations</w:t>
      </w:r>
    </w:p>
    <w:p>
      <w:r>
        <w:t>The infographic artwork includes AI-generated illustrative scenes and should not be treated as documentary photographs. Local collection availability varies, so users should check CPCB or local-authority guidance. GitHub and college Drive publication are external steps and are not represented as completed by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