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Verification Report — CAPSTONE 48</w:t>
      </w:r>
    </w:p>
    <w:p>
      <w:r>
        <w:rPr>
          <w:b/>
        </w:rPr>
        <w:t xml:space="preserve">Project topic: </w:t>
      </w:r>
      <w:r>
        <w:t>E-Waste in India</w:t>
      </w:r>
    </w:p>
    <w:p>
      <w:r>
        <w:rPr>
          <w:b/>
        </w:rPr>
        <w:t xml:space="preserve">Status: </w:t>
      </w:r>
      <w:r>
        <w:t>Five candidate claims reviewed against original government / institutional source pages. One claim's unit wording was standardised; two indicators retain explicit scope qualifications.</w:t>
      </w:r>
    </w:p>
    <w:p>
      <w:pPr>
        <w:pStyle w:val="Heading1"/>
      </w:pPr>
      <w:r>
        <w:t>Method</w:t>
      </w:r>
    </w:p>
    <w:p>
      <w:pPr>
        <w:pStyle w:val="ListNumber"/>
      </w:pPr>
      <w:r>
        <w:t>Opened the original Press Information Bureau release and ITU press release / Global E-waste Monitor 2024 landing page rather than relying only on AI summaries.</w:t>
      </w:r>
    </w:p>
    <w:p>
      <w:pPr>
        <w:pStyle w:val="ListNumber"/>
      </w:pPr>
      <w:r>
        <w:t>Checked the exact number, unit, financial/calendar year, geography, and source table or section.</w:t>
      </w:r>
    </w:p>
    <w:p>
      <w:pPr>
        <w:pStyle w:val="ListNumber"/>
      </w:pPr>
      <w:r>
        <w:t>Kept India's government-reported combined collection/dismantling/recycling/disposal percentage separate from the global documented formal collection/recycling indicator.</w:t>
      </w:r>
    </w:p>
    <w:p>
      <w:pPr>
        <w:pStyle w:val="ListNumber"/>
      </w:pPr>
      <w:r>
        <w:t>Recorded decisions and corrections in verification_register.csv; the register should be updated if the source page or project graphic changes.</w:t>
      </w:r>
    </w:p>
    <w:p>
      <w:pPr>
        <w:pStyle w:val="Heading1"/>
      </w:pPr>
      <w:r>
        <w:t>Claim decisions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Decision</w:t>
            </w:r>
          </w:p>
        </w:tc>
        <w:tc>
          <w:tcPr>
            <w:tcW w:type="dxa" w:w="2160"/>
          </w:tcPr>
          <w:p>
            <w:r>
              <w:t>Evidence location</w:t>
            </w:r>
          </w:p>
        </w:tc>
        <w:tc>
          <w:tcPr>
            <w:tcW w:type="dxa" w:w="2160"/>
          </w:tcPr>
          <w:p>
            <w:r>
              <w:t>Use in project</w:t>
            </w:r>
          </w:p>
        </w:tc>
      </w:tr>
      <w:tr>
        <w:tc>
          <w:tcPr>
            <w:tcW w:type="dxa" w:w="2160"/>
          </w:tcPr>
          <w:p>
            <w:r>
              <w:t>F1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  <w:tc>
          <w:tcPr>
            <w:tcW w:type="dxa" w:w="2160"/>
          </w:tcPr>
          <w:p>
            <w:r>
              <w:t>PIB, table row FY 2023–24</w:t>
            </w:r>
          </w:p>
        </w:tc>
        <w:tc>
          <w:tcPr>
            <w:tcW w:type="dxa" w:w="2160"/>
          </w:tcPr>
          <w:p>
            <w:r>
              <w:t>Use 1,254,286.55 MT.</w:t>
            </w:r>
          </w:p>
        </w:tc>
      </w:tr>
      <w:tr>
        <w:tc>
          <w:tcPr>
            <w:tcW w:type="dxa" w:w="2160"/>
          </w:tcPr>
          <w:p>
            <w:r>
              <w:t>F2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  <w:tc>
          <w:tcPr>
            <w:tcW w:type="dxa" w:w="2160"/>
          </w:tcPr>
          <w:p>
            <w:r>
              <w:t>PIB, table row FY 2024–25</w:t>
            </w:r>
          </w:p>
        </w:tc>
        <w:tc>
          <w:tcPr>
            <w:tcW w:type="dxa" w:w="2160"/>
          </w:tcPr>
          <w:p>
            <w:r>
              <w:t>Use 1,397,955.59 MT.</w:t>
            </w:r>
          </w:p>
        </w:tc>
      </w:tr>
      <w:tr>
        <w:tc>
          <w:tcPr>
            <w:tcW w:type="dxa" w:w="2160"/>
          </w:tcPr>
          <w:p>
            <w:r>
              <w:t>F3</w:t>
            </w:r>
          </w:p>
        </w:tc>
        <w:tc>
          <w:tcPr>
            <w:tcW w:type="dxa" w:w="2160"/>
          </w:tcPr>
          <w:p>
            <w:r>
              <w:t>Verified with qualification</w:t>
            </w:r>
          </w:p>
        </w:tc>
        <w:tc>
          <w:tcPr>
            <w:tcW w:type="dxa" w:w="2160"/>
          </w:tcPr>
          <w:p>
            <w:r>
              <w:t>PIB table column heading explicitly combines collected, dismantled and recycled/disposed</w:t>
            </w:r>
          </w:p>
        </w:tc>
        <w:tc>
          <w:tcPr>
            <w:tcW w:type="dxa" w:w="2160"/>
          </w:tcPr>
          <w:p>
            <w:r>
              <w:t>Do not shorten to “recycling rate”.</w:t>
            </w:r>
          </w:p>
        </w:tc>
      </w:tr>
      <w:tr>
        <w:tc>
          <w:tcPr>
            <w:tcW w:type="dxa" w:w="2160"/>
          </w:tcPr>
          <w:p>
            <w:r>
              <w:t>F4</w:t>
            </w:r>
          </w:p>
        </w:tc>
        <w:tc>
          <w:tcPr>
            <w:tcW w:type="dxa" w:w="2160"/>
          </w:tcPr>
          <w:p>
            <w:r>
              <w:t>Corrected wording</w:t>
            </w:r>
          </w:p>
        </w:tc>
        <w:tc>
          <w:tcPr>
            <w:tcW w:type="dxa" w:w="2160"/>
          </w:tcPr>
          <w:p>
            <w:r>
              <w:t>ITU press release, “By the numbers”</w:t>
            </w:r>
          </w:p>
        </w:tc>
        <w:tc>
          <w:tcPr>
            <w:tcW w:type="dxa" w:w="2160"/>
          </w:tcPr>
          <w:p>
            <w:r>
              <w:t>Use 62 million tonnes; this equals 62 billion kg.</w:t>
            </w:r>
          </w:p>
        </w:tc>
      </w:tr>
      <w:tr>
        <w:tc>
          <w:tcPr>
            <w:tcW w:type="dxa" w:w="2160"/>
          </w:tcPr>
          <w:p>
            <w:r>
              <w:t>F5</w:t>
            </w:r>
          </w:p>
        </w:tc>
        <w:tc>
          <w:tcPr>
            <w:tcW w:type="dxa" w:w="2160"/>
          </w:tcPr>
          <w:p>
            <w:r>
              <w:t>Verified with qualification</w:t>
            </w:r>
          </w:p>
        </w:tc>
        <w:tc>
          <w:tcPr>
            <w:tcW w:type="dxa" w:w="2160"/>
          </w:tcPr>
          <w:p>
            <w:r>
              <w:t>ITU press release / Global E-waste Monitor 2024 summary</w:t>
            </w:r>
          </w:p>
        </w:tc>
        <w:tc>
          <w:tcPr>
            <w:tcW w:type="dxa" w:w="2160"/>
          </w:tcPr>
          <w:p>
            <w:r>
              <w:t>Use 22.3% with the formal collection/recycling definition and global year.</w:t>
            </w:r>
          </w:p>
        </w:tc>
      </w:tr>
    </w:tbl>
    <w:p>
      <w:pPr>
        <w:pStyle w:val="Heading1"/>
      </w:pPr>
      <w:r>
        <w:t>Limitations</w:t>
      </w:r>
    </w:p>
    <w:p>
      <w:r>
        <w:t>This is a focused check of five headline claims, not an independent audit of the underlying CPCB estimation method or the full Global E-waste Monitor dataset. The figures are reported by the cited institutions. The 70.71% Indian metric and 22.3% global metric have different definitions and must not be compared as if they measured the same thing. General health/environment language should remain qualified and linked to WHO/ITU sources; this project does not measure local exposure or local health outcomes.</w:t>
      </w:r>
    </w:p>
    <w:p>
      <w:pPr>
        <w:pStyle w:val="Heading1"/>
      </w:pPr>
      <w:r>
        <w:t>Original sources</w:t>
      </w:r>
    </w:p>
    <w:p>
      <w:r>
        <w:t>S1. Press Information Bureau, Ministry of Environment, Forest and Climate Change. “Parliament Question: E-waste processing management.” 24 July 2025.</w:t>
        <w:br/>
        <w:t>https://www.pib.gov.in/PressReleasePage.aspx?PRID=2147876&amp;lang=2&amp;reg=48</w:t>
        <w:br/>
        <w:t>Original government release; supports F1–F3, table lists FY 2023–24 and FY 2024–25 generation and combined metric.</w:t>
      </w:r>
    </w:p>
    <w:p>
      <w:r>
        <w:t>S2. ITU. “Electronic waste rising five times faster than documented e-waste recycling: UN.” 20 March 2024.</w:t>
        <w:br/>
        <w:t>https://www.itu.int/en/mediacentre/Pages/PR-2024-03-20-e-waste-recycling.aspx</w:t>
        <w:br/>
        <w:t>Official summary of Global E-waste Monitor 2024; supports F4–F5 and global context.</w:t>
      </w:r>
    </w:p>
    <w:p>
      <w:r>
        <w:t>S3. ITU / UNITAR. The Global E-waste Monitor 2024.</w:t>
        <w:br/>
        <w:t>https://www.itu.int/en/ITU-D/Environment/Pages/Publications/The-Global-E-waste-Monitor-2024.aspx</w:t>
        <w:br/>
        <w:t>Primary report landing page; consult report for definitions and methodological context.</w:t>
      </w:r>
    </w:p>
    <w:p>
      <w:r>
        <w:t>S4. Central Pollution Control Board. E-Waste EPR Portal.</w:t>
        <w:br/>
        <w:t>https://www.eprewaste.cpcb.gov.in/</w:t>
        <w:br/>
        <w:t>Official portal for e-waste management / registered stakeholders and guidance.</w:t>
      </w:r>
    </w:p>
    <w:p>
      <w:r>
        <w:t>S5. World Health Organization. Electronic waste (e-waste) and child health / health risks information.</w:t>
        <w:br/>
        <w:t>https://www.who.int/news-room/fact-sheets/detail/electronic-waste-(e-waste)</w:t>
        <w:br/>
        <w:t>Health context; use for broad exposure and health-risk wording, not local prevalence.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