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Alaska — Layer 2 Explainer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Makes AK Different?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Alaska uses community-level local option — NOT county-level. Individual villages and cities vote to be wet, dry, or damp. Over 109 communities have restrictions, mostly in rural western/northern Alaska.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Dry (65 communities): </w:t>
      </w:r>
      <w:r>
        <w:rPr>
          <w:rFonts w:ascii="Arial" w:cs="Arial" w:eastAsia="Arial" w:hAnsi="Arial"/>
          <w:sz w:val="21"/>
          <w:szCs w:val="21"/>
        </w:rPr>
        <w:t xml:space="preserve">Sale, importation, AND possession banned. No alcohol at all.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Dry (21 communities): </w:t>
      </w:r>
      <w:r>
        <w:rPr>
          <w:rFonts w:ascii="Arial" w:cs="Arial" w:eastAsia="Arial" w:hAnsi="Arial"/>
          <w:sz w:val="21"/>
          <w:szCs w:val="21"/>
        </w:rPr>
        <w:t xml:space="preserve">Sale and importation banned. Personal possession allowed.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Damp (21 communities): </w:t>
      </w:r>
      <w:r>
        <w:rPr>
          <w:rFonts w:ascii="Arial" w:cs="Arial" w:eastAsia="Arial" w:hAnsi="Arial"/>
          <w:sz w:val="21"/>
          <w:szCs w:val="21"/>
        </w:rPr>
        <w:t xml:space="preserve">Sale banned but importation for personal use allowed.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Specific (2 communities): </w:t>
      </w:r>
      <w:r>
        <w:rPr>
          <w:rFonts w:ascii="Arial" w:cs="Arial" w:eastAsia="Arial" w:hAnsi="Arial"/>
          <w:sz w:val="21"/>
          <w:szCs w:val="21"/>
        </w:rPr>
        <w:t xml:space="preserve">Bethel: restaurant/eating place license only. Aleknagik: outdoor recreation lodge only.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Source: </w:t>
      </w:r>
      <w:r>
        <w:rPr>
          <w:rFonts w:ascii="Arial" w:cs="Arial" w:eastAsia="Arial" w:hAnsi="Arial"/>
          <w:sz w:val="21"/>
          <w:szCs w:val="21"/>
        </w:rPr>
        <w:t xml:space="preserve">AK AMCO Schedule of Local Option Communities (3/13/2024)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URL: </w:t>
      </w:r>
      <w:r>
        <w:rPr>
          <w:rFonts w:ascii="Arial" w:cs="Arial" w:eastAsia="Arial" w:hAnsi="Arial"/>
          <w:sz w:val="21"/>
          <w:szCs w:val="21"/>
        </w:rPr>
        <w:t xml:space="preserve">commerce.alaska.gov/web/amco/AlcoholLocalOption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Communities: </w:t>
      </w:r>
      <w:r>
        <w:rPr>
          <w:rFonts w:ascii="Arial" w:cs="Arial" w:eastAsia="Arial" w:hAnsi="Arial"/>
          <w:sz w:val="21"/>
          <w:szCs w:val="21"/>
        </w:rPr>
        <w:t xml:space="preserve">109 restricted (86 dry, 23 damp)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individual license roster available </w:t>
      </w:r>
      <w:r>
        <w:rPr>
          <w:rFonts w:ascii="Arial" w:cs="Arial" w:eastAsia="Arial" w:hAnsi="Arial"/>
          <w:sz w:val="21"/>
          <w:szCs w:val="21"/>
        </w:rPr>
        <w:t xml:space="preserve">— only restriction list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Query Example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layer2_municipality_licenses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  WHERE state_fips = '02' AND municipality_name = 'Bethel'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Result: </w:t>
      </w:r>
      <w:r>
        <w:rPr>
          <w:rFonts w:ascii="Arial" w:cs="Arial" w:eastAsia="Arial" w:hAnsi="Arial"/>
          <w:sz w:val="21"/>
          <w:szCs w:val="21"/>
        </w:rPr>
        <w:t xml:space="preserve">damp — Restaurant/Eating Place License Only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individual license data — only community restriction statuses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Data is from March 2024 — communities can vote to change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Unincorporated communities marked with asterisk in source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2026-04-02T05:13:57.203Z</dcterms:created>
  <dcterms:modified xsi:type="dcterms:W3CDTF">2026-04-02T05:13:57.204Z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