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Massachusetts — Layer 2 Explainer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Makes MA Different?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Massachusetts has strict chain license caps and municipal Local Licensing Authorities (LLAs). Each city/town issues its own licenses. Only 2 retail license types exist: On Premise and Off Premise.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Strong MCD state: </w:t>
      </w:r>
      <w:r>
        <w:rPr>
          <w:rFonts w:ascii="Arial" w:cs="Arial" w:eastAsia="Arial" w:hAnsi="Arial"/>
          <w:sz w:val="21"/>
          <w:szCs w:val="21"/>
        </w:rPr>
        <w:t xml:space="preserve">Towns/cities are the primary licensing unit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Chain cap: </w:t>
      </w:r>
      <w:r>
        <w:rPr>
          <w:rFonts w:ascii="Arial" w:cs="Arial" w:eastAsia="Arial" w:hAnsi="Arial"/>
          <w:sz w:val="21"/>
          <w:szCs w:val="21"/>
        </w:rPr>
        <w:t xml:space="preserve">Corporations limited in how many licenses they can hold statewide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retail licenses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12,471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Municipalities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Premise Retail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9,208 (bars/restaurants)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Premise Retail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3,263 (package stores)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municipality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Boston: 1,568 licenses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Joe's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Premise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Foods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Premise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Wine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Premise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Premise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Wegmans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Premise (5) + On Premise (1)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Premise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&amp; Shop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Premise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Query Examples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Where does Trader Joe's sell alcohol in MA?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layer2_individual_licenses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  WHERE state_fips = '25' AND establishment_name ILIKE '%trader joe%'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Result: </w:t>
      </w:r>
      <w:r>
        <w:rPr>
          <w:rFonts w:ascii="Arial" w:cs="Arial" w:eastAsia="Arial" w:hAnsi="Arial"/>
          <w:sz w:val="21"/>
          <w:szCs w:val="21"/>
        </w:rPr>
        <w:t xml:space="preserve">9 locations, all Off Premise Retail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How many licenses does Boston have?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layer2_municipality_licenses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sz w:val="19"/>
          <w:szCs w:val="19"/>
        </w:rPr>
        <w:t xml:space="preserve">  WHERE state_fips = '25' AND municipality_name = 'Boston'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Result: </w:t>
      </w:r>
      <w:r>
        <w:rPr>
          <w:rFonts w:ascii="Arial" w:cs="Arial" w:eastAsia="Arial" w:hAnsi="Arial"/>
          <w:sz w:val="21"/>
          <w:szCs w:val="21"/>
        </w:rPr>
        <w:t xml:space="preserve">1,568 total (On Premise + Off Premise)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 ABCC Active Retail Licenses (mass.gov)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Census Bureau 2020 Population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Only retail licenses included — no manufacturer/wholesaler/transporter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quota or slots remaining calculated (MA quota is municipality-specific and complex)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Chain cap rules not captured as structured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2026-04-02T05:12:53.259Z</dcterms:created>
  <dcterms:modified xsi:type="dcterms:W3CDTF">2026-04-02T05:12:53.259Z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