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jc w:val="center"/>
      </w:pPr>
      <w:r>
        <w:t xml:space="preserve">BALAMITRA (బాలమిత్ర)</w:t>
      </w:r>
      <w:r>
        <w:rPr>
          <w:rFonts w:ascii="Calibri" w:cs="Calibri" w:eastAsia="Calibri" w:hAnsi="Calibri"/>
          <w:b/>
          <w:bCs/>
          <w:color w:val="000000"/>
          <w:sz w:val="38"/>
          <w:szCs w:val="38"/>
        </w:rPr>
        <w:t xml:space="preserve">BALAMITRA (బాలమిత్ర)</w:t>
      </w:r>
    </w:p>
    <w:p>
      <w:pPr>
        <w:spacing w:after="260" w:before="0"/>
        <w:jc w:val="center"/>
      </w:pPr>
      <w:r>
        <w:rPr>
          <w:rFonts w:ascii="Calibri" w:cs="Calibri" w:eastAsia="Calibri" w:hAnsi="Calibri"/>
          <w:b/>
          <w:bCs/>
          <w:color w:val="000000"/>
          <w:sz w:val="22"/>
          <w:szCs w:val="22"/>
        </w:rPr>
        <w:t xml:space="preserve">Technical Architecture, Mathematical Foundations, and Edge Intelligence Specification</w:t>
      </w:r>
    </w:p>
    <w:p>
      <w:pPr>
        <w:spacing w:after="80" w:before="60"/>
      </w:pPr>
      <w:r>
        <w:rPr>
          <w:rFonts w:ascii="Calibri" w:cs="Calibri" w:eastAsia="Calibri" w:hAnsi="Calibri"/>
          <w:color w:val="000000"/>
          <w:sz w:val="21"/>
          <w:szCs w:val="21"/>
        </w:rPr>
        <w:t xml:space="preserve">This document details the engineering design, algorithmic formulations, statistical frameworks, and language model mechanics implemented across the Balamitra platform. Balamitra is an offline-first system developed for India's 1.4 million Anganwadi centers under the Integrated Child Development Services (ICDS) network.</w:t>
      </w:r>
    </w:p>
    <w:p>
      <w:pPr>
        <w:pStyle w:val="Heading1"/>
        <w:spacing w:after="120" w:before="300"/>
      </w:pPr>
      <w:r>
        <w:rPr>
          <w:rFonts w:ascii="Calibri" w:cs="Calibri" w:eastAsia="Calibri" w:hAnsi="Calibri"/>
          <w:b/>
          <w:bCs/>
          <w:color w:val="000000"/>
          <w:sz w:val="28"/>
          <w:szCs w:val="28"/>
        </w:rPr>
        <w:t xml:space="preserve">1. Public Health Context and Operational Baseline</w:t>
      </w:r>
    </w:p>
    <w:p>
      <w:pPr>
        <w:spacing w:after="80" w:before="60"/>
      </w:pPr>
      <w:r>
        <w:rPr>
          <w:rFonts w:ascii="Calibri" w:cs="Calibri" w:eastAsia="Calibri" w:hAnsi="Calibri"/>
          <w:color w:val="000000"/>
          <w:sz w:val="21"/>
          <w:szCs w:val="21"/>
        </w:rPr>
        <w:t xml:space="preserve">The biological rationale for early childhood monitoring centers on the 2,000-day window spanning from conception through age five. During this phase, the brain forms over one million new neural connections per second, reaching 80 percent of adult brain architecture by age three and 90 percent by age five. Undernutrition or unaddressed developmental delays during this phase lead to irreversible deficits in cognitive capacity, immune function, and adult economic productivity.</w:t>
      </w:r>
    </w:p>
    <w:p>
      <w:pPr>
        <w:spacing w:after="80" w:before="60"/>
      </w:pPr>
      <w:r>
        <w:rPr>
          <w:rFonts w:ascii="Calibri" w:cs="Calibri" w:eastAsia="Calibri" w:hAnsi="Calibri"/>
          <w:color w:val="000000"/>
          <w:sz w:val="21"/>
          <w:szCs w:val="21"/>
        </w:rPr>
        <w:t xml:space="preserve">Frontline healthcare workers in India face severe structural constraints as documented in the National Family Health Survey (NFHS-5):</w:t>
      </w:r>
    </w:p>
    <w:p>
      <w:pPr>
        <w:pStyle w:val="ListParagraph"/>
        <w:numPr>
          <w:ilvl w:val="0"/>
          <w:numId w:val="1"/>
        </w:numPr>
        <w:spacing w:after="60" w:before="40"/>
      </w:pPr>
      <w:r>
        <w:rPr>
          <w:rFonts w:ascii="Calibri" w:cs="Calibri" w:eastAsia="Calibri" w:hAnsi="Calibri"/>
          <w:b/>
          <w:bCs/>
          <w:color w:val="000000"/>
          <w:sz w:val="21"/>
          <w:szCs w:val="21"/>
        </w:rPr>
        <w:t xml:space="preserve">Stunting (Height-for-Age): </w:t>
      </w:r>
      <w:r>
        <w:rPr>
          <w:rFonts w:ascii="Calibri" w:cs="Calibri" w:eastAsia="Calibri" w:hAnsi="Calibri"/>
          <w:color w:val="000000"/>
          <w:sz w:val="21"/>
          <w:szCs w:val="21"/>
        </w:rPr>
        <w:t xml:space="preserve">35.5 percent of children under five are chronically stunted, reflecting sustained longitudinal nutrient deficits.</w:t>
      </w:r>
    </w:p>
    <w:p>
      <w:pPr>
        <w:pStyle w:val="ListParagraph"/>
        <w:numPr>
          <w:ilvl w:val="0"/>
          <w:numId w:val="1"/>
        </w:numPr>
        <w:spacing w:after="60" w:before="40"/>
      </w:pPr>
      <w:r>
        <w:rPr>
          <w:rFonts w:ascii="Calibri" w:cs="Calibri" w:eastAsia="Calibri" w:hAnsi="Calibri"/>
          <w:b/>
          <w:bCs/>
          <w:color w:val="000000"/>
          <w:sz w:val="21"/>
          <w:szCs w:val="21"/>
        </w:rPr>
        <w:t xml:space="preserve">Wasting (Weight-for-Height): </w:t>
      </w:r>
      <w:r>
        <w:rPr>
          <w:rFonts w:ascii="Calibri" w:cs="Calibri" w:eastAsia="Calibri" w:hAnsi="Calibri"/>
          <w:color w:val="000000"/>
          <w:sz w:val="21"/>
          <w:szCs w:val="21"/>
        </w:rPr>
        <w:t xml:space="preserve">19.3 percent suffer from acute wasting, marking immediate risks of severe infection and mortality.</w:t>
      </w:r>
    </w:p>
    <w:p>
      <w:pPr>
        <w:pStyle w:val="ListParagraph"/>
        <w:numPr>
          <w:ilvl w:val="0"/>
          <w:numId w:val="1"/>
        </w:numPr>
        <w:spacing w:after="60" w:before="40"/>
      </w:pPr>
      <w:r>
        <w:rPr>
          <w:rFonts w:ascii="Calibri" w:cs="Calibri" w:eastAsia="Calibri" w:hAnsi="Calibri"/>
          <w:b/>
          <w:bCs/>
          <w:color w:val="000000"/>
          <w:sz w:val="21"/>
          <w:szCs w:val="21"/>
        </w:rPr>
        <w:t xml:space="preserve">Underweight (Weight-for-Age): </w:t>
      </w:r>
      <w:r>
        <w:rPr>
          <w:rFonts w:ascii="Calibri" w:cs="Calibri" w:eastAsia="Calibri" w:hAnsi="Calibri"/>
          <w:color w:val="000000"/>
          <w:sz w:val="21"/>
          <w:szCs w:val="21"/>
        </w:rPr>
        <w:t xml:space="preserve">32.1 percent are underweight, reflecting a composite of acute and chronic malnutrition.</w:t>
      </w:r>
    </w:p>
    <w:p>
      <w:pPr>
        <w:pStyle w:val="ListParagraph"/>
        <w:numPr>
          <w:ilvl w:val="0"/>
          <w:numId w:val="1"/>
        </w:numPr>
        <w:spacing w:after="60" w:before="40"/>
      </w:pPr>
      <w:r>
        <w:rPr>
          <w:rFonts w:ascii="Calibri" w:cs="Calibri" w:eastAsia="Calibri" w:hAnsi="Calibri"/>
          <w:b/>
          <w:bCs/>
          <w:color w:val="000000"/>
          <w:sz w:val="21"/>
          <w:szCs w:val="21"/>
        </w:rPr>
        <w:t xml:space="preserve">Administrative Friction: </w:t>
      </w:r>
      <w:r>
        <w:rPr>
          <w:rFonts w:ascii="Calibri" w:cs="Calibri" w:eastAsia="Calibri" w:hAnsi="Calibri"/>
          <w:color w:val="000000"/>
          <w:sz w:val="21"/>
          <w:szCs w:val="21"/>
        </w:rPr>
        <w:t xml:space="preserve">Each Anganwadi worker manages 30 to 50 children single-handedly. Field studies demonstrate that 30 to 40 percent of working hours (two to three hours per shift) are consumed by the manual upkeep of 11 physical paper ledgers.</w:t>
      </w:r>
    </w:p>
    <w:p>
      <w:pPr>
        <w:pStyle w:val="ListParagraph"/>
        <w:numPr>
          <w:ilvl w:val="0"/>
          <w:numId w:val="1"/>
        </w:numPr>
        <w:spacing w:after="60" w:before="40"/>
      </w:pPr>
      <w:r>
        <w:rPr>
          <w:rFonts w:ascii="Calibri" w:cs="Calibri" w:eastAsia="Calibri" w:hAnsi="Calibri"/>
          <w:b/>
          <w:bCs/>
          <w:color w:val="000000"/>
          <w:sz w:val="21"/>
          <w:szCs w:val="21"/>
        </w:rPr>
        <w:t xml:space="preserve">The Communication Gap: </w:t>
      </w:r>
      <w:r>
        <w:rPr>
          <w:rFonts w:ascii="Calibri" w:cs="Calibri" w:eastAsia="Calibri" w:hAnsi="Calibri"/>
          <w:color w:val="000000"/>
          <w:sz w:val="21"/>
          <w:szCs w:val="21"/>
        </w:rPr>
        <w:t xml:space="preserve">Presenting abstract statistical metrics such as standard deviation cutoffs to rural families often induces guilt or defensive denial. Effective intervention requires converting clinical indicators into empathetic, culturally practical food guidance in local languages.</w:t>
      </w:r>
    </w:p>
    <w:p>
      <w:pPr>
        <w:pStyle w:val="Heading1"/>
        <w:spacing w:after="120" w:before="300"/>
      </w:pPr>
      <w:r>
        <w:rPr>
          <w:rFonts w:ascii="Calibri" w:cs="Calibri" w:eastAsia="Calibri" w:hAnsi="Calibri"/>
          <w:b/>
          <w:bCs/>
          <w:color w:val="000000"/>
          <w:sz w:val="28"/>
          <w:szCs w:val="28"/>
        </w:rPr>
        <w:t xml:space="preserve">2. Mathematical Foundations of the WHO Growth Engine</w:t>
      </w:r>
    </w:p>
    <w:p>
      <w:pPr>
        <w:spacing w:after="80" w:before="60"/>
      </w:pPr>
      <w:r>
        <w:rPr>
          <w:rFonts w:ascii="Calibri" w:cs="Calibri" w:eastAsia="Calibri" w:hAnsi="Calibri"/>
          <w:color w:val="000000"/>
          <w:sz w:val="21"/>
          <w:szCs w:val="21"/>
        </w:rPr>
        <w:t xml:space="preserve">Balamitra implements the World Health Organization (WHO) Child Growth Standards natively in Kotlin without relying on external cloud endpoints. The underlying mathematics relies on the Box-Cox Power Exponential (LMS) statistical formulation, which models non-normal skewness in child growth distributions across age groups.</w:t>
      </w:r>
    </w:p>
    <w:p>
      <w:pPr>
        <w:pStyle w:val="Heading2"/>
        <w:spacing w:after="100" w:before="240"/>
      </w:pPr>
      <w:r>
        <w:rPr>
          <w:rFonts w:ascii="Calibri" w:cs="Calibri" w:eastAsia="Calibri" w:hAnsi="Calibri"/>
          <w:b/>
          <w:bCs/>
          <w:color w:val="000000"/>
          <w:sz w:val="24"/>
          <w:szCs w:val="24"/>
        </w:rPr>
        <w:t xml:space="preserve">2.1. The LMS Z-Score Transformation</w:t>
      </w:r>
    </w:p>
    <w:p>
      <w:pPr>
        <w:spacing w:after="80" w:before="60"/>
      </w:pPr>
      <w:r>
        <w:rPr>
          <w:rFonts w:ascii="Calibri" w:cs="Calibri" w:eastAsia="Calibri" w:hAnsi="Calibri"/>
          <w:color w:val="000000"/>
          <w:sz w:val="21"/>
          <w:szCs w:val="21"/>
        </w:rPr>
        <w:t xml:space="preserve">For any anthropometric measurement X (weight in kilograms or height in centimeters) evaluated at exact chronological age t, the reference distribution is defined by three age-and-gender-specific parameters:</w:t>
      </w:r>
    </w:p>
    <w:p>
      <w:pPr>
        <w:pStyle w:val="ListParagraph"/>
        <w:numPr>
          <w:ilvl w:val="0"/>
          <w:numId w:val="1"/>
        </w:numPr>
        <w:spacing w:after="60" w:before="40"/>
      </w:pPr>
      <w:r>
        <w:rPr>
          <w:rFonts w:ascii="Calibri" w:cs="Calibri" w:eastAsia="Calibri" w:hAnsi="Calibri"/>
          <w:b/>
          <w:bCs/>
          <w:color w:val="000000"/>
          <w:sz w:val="21"/>
          <w:szCs w:val="21"/>
        </w:rPr>
        <w:t xml:space="preserve">L (Lambda): </w:t>
      </w:r>
      <w:r>
        <w:rPr>
          <w:rFonts w:ascii="Calibri" w:cs="Calibri" w:eastAsia="Calibri" w:hAnsi="Calibri"/>
          <w:color w:val="000000"/>
          <w:sz w:val="21"/>
          <w:szCs w:val="21"/>
        </w:rPr>
        <w:t xml:space="preserve">The Box-Cox power transformation parameter that normalizes distribution skewness.</w:t>
      </w:r>
    </w:p>
    <w:p>
      <w:pPr>
        <w:pStyle w:val="ListParagraph"/>
        <w:numPr>
          <w:ilvl w:val="0"/>
          <w:numId w:val="1"/>
        </w:numPr>
        <w:spacing w:after="60" w:before="40"/>
      </w:pPr>
      <w:r>
        <w:rPr>
          <w:rFonts w:ascii="Calibri" w:cs="Calibri" w:eastAsia="Calibri" w:hAnsi="Calibri"/>
          <w:b/>
          <w:bCs/>
          <w:color w:val="000000"/>
          <w:sz w:val="21"/>
          <w:szCs w:val="21"/>
        </w:rPr>
        <w:t xml:space="preserve">M (Median): </w:t>
      </w:r>
      <w:r>
        <w:rPr>
          <w:rFonts w:ascii="Calibri" w:cs="Calibri" w:eastAsia="Calibri" w:hAnsi="Calibri"/>
          <w:color w:val="000000"/>
          <w:sz w:val="21"/>
          <w:szCs w:val="21"/>
        </w:rPr>
        <w:t xml:space="preserve">The median value of the reference population for that exact age and sex cohort.</w:t>
      </w:r>
    </w:p>
    <w:p>
      <w:pPr>
        <w:pStyle w:val="ListParagraph"/>
        <w:numPr>
          <w:ilvl w:val="0"/>
          <w:numId w:val="1"/>
        </w:numPr>
        <w:spacing w:after="60" w:before="40"/>
      </w:pPr>
      <w:r>
        <w:rPr>
          <w:rFonts w:ascii="Calibri" w:cs="Calibri" w:eastAsia="Calibri" w:hAnsi="Calibri"/>
          <w:b/>
          <w:bCs/>
          <w:color w:val="000000"/>
          <w:sz w:val="21"/>
          <w:szCs w:val="21"/>
        </w:rPr>
        <w:t xml:space="preserve">S (Coefficient of Variation): </w:t>
      </w:r>
      <w:r>
        <w:rPr>
          <w:rFonts w:ascii="Calibri" w:cs="Calibri" w:eastAsia="Calibri" w:hAnsi="Calibri"/>
          <w:color w:val="000000"/>
          <w:sz w:val="21"/>
          <w:szCs w:val="21"/>
        </w:rPr>
        <w:t xml:space="preserve">The scale parameter controlling distribution dispersion, calculated as standard deviation divided by the median.</w:t>
      </w:r>
    </w:p>
    <w:p>
      <w:pPr>
        <w:spacing w:after="80" w:before="60"/>
      </w:pPr>
      <w:r>
        <w:rPr>
          <w:rFonts w:ascii="Calibri" w:cs="Calibri" w:eastAsia="Calibri" w:hAnsi="Calibri"/>
          <w:color w:val="000000"/>
          <w:sz w:val="21"/>
          <w:szCs w:val="21"/>
        </w:rPr>
        <w:t xml:space="preserve">When L is non-zero, the exact Z-score is calculated by the non-linear power transform: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1F5F9" w:val="clear"/>
            <w:tcMar>
              <w:top w:type="dxa" w:w="120"/>
              <w:left w:type="dxa" w:w="160"/>
              <w:bottom w:type="dxa" w:w="120"/>
              <w:right w:type="dxa" w:w="160"/>
            </w:tcMar>
          </w:tcPr>
          <w:p>
            <w:pPr>
              <w:spacing w:after="60" w:before="100"/>
              <w:jc w:val="center"/>
            </w:pPr>
            <w:r>
              <w:rPr>
                <w:rFonts w:ascii="Consolas" w:cs="Consolas" w:eastAsia="Consolas" w:hAnsi="Consolas"/>
                <w:b/>
                <w:bCs/>
                <w:color w:val="000000"/>
                <w:sz w:val="22"/>
                <w:szCs w:val="22"/>
              </w:rPr>
              <w:t xml:space="preserve">Z = [ (X / M)^L - 1 ] / (L * S)</w:t>
            </w:r>
          </w:p>
          <w:p>
            <w:pPr>
              <w:spacing w:after="120" w:before="0"/>
              <w:jc w:val="center"/>
            </w:pPr>
            <w:r>
              <w:rPr>
                <w:rFonts w:ascii="Calibri" w:cs="Calibri" w:eastAsia="Calibri" w:hAnsi="Calibri"/>
                <w:color w:val="000000"/>
                <w:sz w:val="19"/>
                <w:szCs w:val="19"/>
              </w:rPr>
              <w:t xml:space="preserve">Equation 1: Box-Cox power transformation for Z-score calculation when L != 0</w:t>
            </w:r>
          </w:p>
        </w:tc>
      </w:tr>
    </w:tbl>
    <w:p>
      <w:pPr>
        <w:spacing w:after="80" w:before="60"/>
      </w:pPr>
      <w:r>
        <w:rPr>
          <w:rFonts w:ascii="Calibri" w:cs="Calibri" w:eastAsia="Calibri" w:hAnsi="Calibri"/>
          <w:color w:val="000000"/>
          <w:sz w:val="21"/>
          <w:szCs w:val="21"/>
        </w:rPr>
        <w:t xml:space="preserve">In rare age brackets where the skewness parameter L converges to zero, the distribution is strictly log-normal, and the Z-score simplifies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1F5F9" w:val="clear"/>
            <w:tcMar>
              <w:top w:type="dxa" w:w="120"/>
              <w:left w:type="dxa" w:w="160"/>
              <w:bottom w:type="dxa" w:w="120"/>
              <w:right w:type="dxa" w:w="160"/>
            </w:tcMar>
          </w:tcPr>
          <w:p>
            <w:pPr>
              <w:spacing w:after="60" w:before="100"/>
              <w:jc w:val="center"/>
            </w:pPr>
            <w:r>
              <w:rPr>
                <w:rFonts w:ascii="Consolas" w:cs="Consolas" w:eastAsia="Consolas" w:hAnsi="Consolas"/>
                <w:b/>
                <w:bCs/>
                <w:color w:val="000000"/>
                <w:sz w:val="22"/>
                <w:szCs w:val="22"/>
              </w:rPr>
              <w:t xml:space="preserve">Z = ln( X / M ) / S</w:t>
            </w:r>
          </w:p>
          <w:p>
            <w:pPr>
              <w:spacing w:after="120" w:before="0"/>
              <w:jc w:val="center"/>
            </w:pPr>
            <w:r>
              <w:rPr>
                <w:rFonts w:ascii="Calibri" w:cs="Calibri" w:eastAsia="Calibri" w:hAnsi="Calibri"/>
                <w:color w:val="000000"/>
                <w:sz w:val="19"/>
                <w:szCs w:val="19"/>
              </w:rPr>
              <w:t xml:space="preserve">Equation 2: Log-normal transformation when L = 0</w:t>
            </w:r>
          </w:p>
        </w:tc>
      </w:tr>
    </w:tbl>
    <w:p>
      <w:pPr>
        <w:pStyle w:val="Heading2"/>
        <w:spacing w:after="100" w:before="240"/>
      </w:pPr>
      <w:r>
        <w:rPr>
          <w:rFonts w:ascii="Calibri" w:cs="Calibri" w:eastAsia="Calibri" w:hAnsi="Calibri"/>
          <w:b/>
          <w:bCs/>
          <w:color w:val="000000"/>
          <w:sz w:val="24"/>
          <w:szCs w:val="24"/>
        </w:rPr>
        <w:t xml:space="preserve">2.2. Percentile Conversion and Clinical Classification</w:t>
      </w:r>
    </w:p>
    <w:p>
      <w:pPr>
        <w:spacing w:after="80" w:before="60"/>
      </w:pPr>
      <w:r>
        <w:rPr>
          <w:rFonts w:ascii="Calibri" w:cs="Calibri" w:eastAsia="Calibri" w:hAnsi="Calibri"/>
          <w:color w:val="000000"/>
          <w:sz w:val="21"/>
          <w:szCs w:val="21"/>
        </w:rPr>
        <w:t xml:space="preserve">The calculated Z-score maps monotonically to the standard Gaussian cumulative distribution function (CDF), allowing the system to compute exact national percentiles: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1F5F9" w:val="clear"/>
            <w:tcMar>
              <w:top w:type="dxa" w:w="120"/>
              <w:left w:type="dxa" w:w="160"/>
              <w:bottom w:type="dxa" w:w="120"/>
              <w:right w:type="dxa" w:w="160"/>
            </w:tcMar>
          </w:tcPr>
          <w:p>
            <w:pPr>
              <w:spacing w:after="60" w:before="100"/>
              <w:jc w:val="center"/>
            </w:pPr>
            <w:r>
              <w:rPr>
                <w:rFonts w:ascii="Consolas" w:cs="Consolas" w:eastAsia="Consolas" w:hAnsi="Consolas"/>
                <w:b/>
                <w:bCs/>
                <w:color w:val="000000"/>
                <w:sz w:val="22"/>
                <w:szCs w:val="22"/>
              </w:rPr>
              <w:t xml:space="preserve">P = Phi(Z) = 0.5 * [ 1 + erf( Z / sqrt(2) ) ]</w:t>
            </w:r>
          </w:p>
          <w:p>
            <w:pPr>
              <w:spacing w:after="120" w:before="0"/>
              <w:jc w:val="center"/>
            </w:pPr>
            <w:r>
              <w:rPr>
                <w:rFonts w:ascii="Calibri" w:cs="Calibri" w:eastAsia="Calibri" w:hAnsi="Calibri"/>
                <w:color w:val="000000"/>
                <w:sz w:val="19"/>
                <w:szCs w:val="19"/>
              </w:rPr>
              <w:t xml:space="preserve">Equation 3: Standard normal cumulative distribution function mapped via the Gauss error function erf(x)</w:t>
            </w:r>
          </w:p>
        </w:tc>
      </w:tr>
    </w:tbl>
    <w:p>
      <w:pPr>
        <w:spacing w:after="80" w:before="60"/>
      </w:pPr>
      <w:r>
        <w:rPr>
          <w:rFonts w:ascii="Calibri" w:cs="Calibri" w:eastAsia="Calibri" w:hAnsi="Calibri"/>
          <w:color w:val="000000"/>
          <w:sz w:val="21"/>
          <w:szCs w:val="21"/>
        </w:rPr>
        <w:t xml:space="preserve">Balamitra categorizes computed Z-scores into three discrete clinical tiers:</w:t>
      </w:r>
    </w:p>
    <w:p>
      <w:pPr>
        <w:pStyle w:val="ListParagraph"/>
        <w:numPr>
          <w:ilvl w:val="0"/>
          <w:numId w:val="1"/>
        </w:numPr>
        <w:spacing w:after="60" w:before="40"/>
      </w:pPr>
      <w:r>
        <w:rPr>
          <w:rFonts w:ascii="Calibri" w:cs="Calibri" w:eastAsia="Calibri" w:hAnsi="Calibri"/>
          <w:b/>
          <w:bCs/>
          <w:color w:val="000000"/>
          <w:sz w:val="21"/>
          <w:szCs w:val="21"/>
        </w:rPr>
        <w:t xml:space="preserve">Normal Band: </w:t>
      </w:r>
      <w:r>
        <w:rPr>
          <w:rFonts w:ascii="Calibri" w:cs="Calibri" w:eastAsia="Calibri" w:hAnsi="Calibri"/>
          <w:color w:val="000000"/>
          <w:sz w:val="21"/>
          <w:szCs w:val="21"/>
        </w:rPr>
        <w:t xml:space="preserve">Z greater than or equal to -2.0 and less than or equal to +2.0 (representing approximately 95.4 percent of healthy reference populations).</w:t>
      </w:r>
    </w:p>
    <w:p>
      <w:pPr>
        <w:pStyle w:val="ListParagraph"/>
        <w:numPr>
          <w:ilvl w:val="0"/>
          <w:numId w:val="1"/>
        </w:numPr>
        <w:spacing w:after="60" w:before="40"/>
      </w:pPr>
      <w:r>
        <w:rPr>
          <w:rFonts w:ascii="Calibri" w:cs="Calibri" w:eastAsia="Calibri" w:hAnsi="Calibri"/>
          <w:b/>
          <w:bCs/>
          <w:color w:val="000000"/>
          <w:sz w:val="21"/>
          <w:szCs w:val="21"/>
        </w:rPr>
        <w:t xml:space="preserve">Moderate Vulnerability: </w:t>
      </w:r>
      <w:r>
        <w:rPr>
          <w:rFonts w:ascii="Calibri" w:cs="Calibri" w:eastAsia="Calibri" w:hAnsi="Calibri"/>
          <w:color w:val="000000"/>
          <w:sz w:val="21"/>
          <w:szCs w:val="21"/>
        </w:rPr>
        <w:t xml:space="preserve">Z less than -2.0 and greater than or equal to -3.0. Requires localized supplemental calories, targeted maternal counseling, and accelerated 14-day check-ins.</w:t>
      </w:r>
    </w:p>
    <w:p>
      <w:pPr>
        <w:pStyle w:val="ListParagraph"/>
        <w:numPr>
          <w:ilvl w:val="0"/>
          <w:numId w:val="1"/>
        </w:numPr>
        <w:spacing w:after="60" w:before="40"/>
      </w:pPr>
      <w:r>
        <w:rPr>
          <w:rFonts w:ascii="Calibri" w:cs="Calibri" w:eastAsia="Calibri" w:hAnsi="Calibri"/>
          <w:b/>
          <w:bCs/>
          <w:color w:val="000000"/>
          <w:sz w:val="21"/>
          <w:szCs w:val="21"/>
        </w:rPr>
        <w:t xml:space="preserve">Severe Acute Malnutrition (SAM): </w:t>
      </w:r>
      <w:r>
        <w:rPr>
          <w:rFonts w:ascii="Calibri" w:cs="Calibri" w:eastAsia="Calibri" w:hAnsi="Calibri"/>
          <w:color w:val="000000"/>
          <w:sz w:val="21"/>
          <w:szCs w:val="21"/>
        </w:rPr>
        <w:t xml:space="preserve">Z less than -3.0. Triggers automated red-flag clinical alerts recommending immediate referral to a Nutrition Rehabilitation Centre (NRC) or Primary Health Centre (PHC) medical officer.</w:t>
      </w:r>
    </w:p>
    <w:p>
      <w:pPr>
        <w:pStyle w:val="Heading1"/>
        <w:spacing w:after="120" w:before="300"/>
      </w:pPr>
      <w:r>
        <w:rPr>
          <w:rFonts w:ascii="Calibri" w:cs="Calibri" w:eastAsia="Calibri" w:hAnsi="Calibri"/>
          <w:b/>
          <w:bCs/>
          <w:color w:val="000000"/>
          <w:sz w:val="28"/>
          <w:szCs w:val="28"/>
        </w:rPr>
        <w:t xml:space="preserve">3. Mathematical Foundations of the Language Model and Intelligence Layer</w:t>
      </w:r>
    </w:p>
    <w:p>
      <w:pPr>
        <w:spacing w:after="80" w:before="60"/>
      </w:pPr>
      <w:r>
        <w:rPr>
          <w:rFonts w:ascii="Calibri" w:cs="Calibri" w:eastAsia="Calibri" w:hAnsi="Calibri"/>
          <w:color w:val="000000"/>
          <w:sz w:val="21"/>
          <w:szCs w:val="21"/>
        </w:rPr>
        <w:t xml:space="preserve">Balamitra avoids using general-purpose conversational LLMs for medical diagnosis. Instead, language modeling is harnessed for two explicit tasks: (a) structured semantic slot-filling from unstructured continuous speech, and (b) translating cold statistical Z-scores into empathetic parental counseling dialogues grounded in local vernacular languages.</w:t>
      </w:r>
    </w:p>
    <w:p>
      <w:pPr>
        <w:pStyle w:val="Heading2"/>
        <w:spacing w:after="100" w:before="240"/>
      </w:pPr>
      <w:r>
        <w:rPr>
          <w:rFonts w:ascii="Calibri" w:cs="Calibri" w:eastAsia="Calibri" w:hAnsi="Calibri"/>
          <w:b/>
          <w:bCs/>
          <w:color w:val="000000"/>
          <w:sz w:val="24"/>
          <w:szCs w:val="24"/>
        </w:rPr>
        <w:t xml:space="preserve">3.1. Transformer Attention and Decoding Dynamics</w:t>
      </w:r>
    </w:p>
    <w:p>
      <w:pPr>
        <w:spacing w:after="80" w:before="60"/>
      </w:pPr>
      <w:r>
        <w:rPr>
          <w:rFonts w:ascii="Calibri" w:cs="Calibri" w:eastAsia="Calibri" w:hAnsi="Calibri"/>
          <w:color w:val="000000"/>
          <w:sz w:val="21"/>
          <w:szCs w:val="21"/>
        </w:rPr>
        <w:t xml:space="preserve">At the core of the generative counseling engine is the self-attention mechanism, which computes contextual relevance vectors between tokens in the prompt and candidate response tokens: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1F5F9" w:val="clear"/>
            <w:tcMar>
              <w:top w:type="dxa" w:w="120"/>
              <w:left w:type="dxa" w:w="160"/>
              <w:bottom w:type="dxa" w:w="120"/>
              <w:right w:type="dxa" w:w="160"/>
            </w:tcMar>
          </w:tcPr>
          <w:p>
            <w:pPr>
              <w:spacing w:after="60" w:before="100"/>
              <w:jc w:val="center"/>
            </w:pPr>
            <w:r>
              <w:rPr>
                <w:rFonts w:ascii="Consolas" w:cs="Consolas" w:eastAsia="Consolas" w:hAnsi="Consolas"/>
                <w:b/>
                <w:bCs/>
                <w:color w:val="000000"/>
                <w:sz w:val="22"/>
                <w:szCs w:val="22"/>
              </w:rPr>
              <w:t xml:space="preserve">Attention(Q, K, V) = softmax( (Q * K^T) / sqrt(d_k) ) * V</w:t>
            </w:r>
          </w:p>
          <w:p>
            <w:pPr>
              <w:spacing w:after="120" w:before="0"/>
              <w:jc w:val="center"/>
            </w:pPr>
            <w:r>
              <w:rPr>
                <w:rFonts w:ascii="Calibri" w:cs="Calibri" w:eastAsia="Calibri" w:hAnsi="Calibri"/>
                <w:color w:val="000000"/>
                <w:sz w:val="19"/>
                <w:szCs w:val="19"/>
              </w:rPr>
              <w:t xml:space="preserve">Equation 4: Scaled dot-product attention where Q, K, and V denote Query, Key, and Value matrices</w:t>
            </w:r>
          </w:p>
        </w:tc>
      </w:tr>
    </w:tbl>
    <w:p>
      <w:pPr>
        <w:spacing w:after="80" w:before="60"/>
      </w:pPr>
      <w:r>
        <w:rPr>
          <w:rFonts w:ascii="Calibri" w:cs="Calibri" w:eastAsia="Calibri" w:hAnsi="Calibri"/>
          <w:color w:val="000000"/>
          <w:sz w:val="21"/>
          <w:szCs w:val="21"/>
        </w:rPr>
        <w:t xml:space="preserve">To govern response generation, Balamitra applies temperature-scaled softmax probability distributions over the vocabulary: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1F5F9" w:val="clear"/>
            <w:tcMar>
              <w:top w:type="dxa" w:w="120"/>
              <w:left w:type="dxa" w:w="160"/>
              <w:bottom w:type="dxa" w:w="120"/>
              <w:right w:type="dxa" w:w="160"/>
            </w:tcMar>
          </w:tcPr>
          <w:p>
            <w:pPr>
              <w:spacing w:after="60" w:before="100"/>
              <w:jc w:val="center"/>
            </w:pPr>
            <w:r>
              <w:rPr>
                <w:rFonts w:ascii="Consolas" w:cs="Consolas" w:eastAsia="Consolas" w:hAnsi="Consolas"/>
                <w:b/>
                <w:bCs/>
                <w:color w:val="000000"/>
                <w:sz w:val="22"/>
                <w:szCs w:val="22"/>
              </w:rPr>
              <w:t xml:space="preserve">P(w_i) = exp( z_i / T ) / Sum_j [ exp( z_j / T ) ]</w:t>
            </w:r>
          </w:p>
          <w:p>
            <w:pPr>
              <w:spacing w:after="120" w:before="0"/>
              <w:jc w:val="center"/>
            </w:pPr>
            <w:r>
              <w:rPr>
                <w:rFonts w:ascii="Calibri" w:cs="Calibri" w:eastAsia="Calibri" w:hAnsi="Calibri"/>
                <w:color w:val="000000"/>
                <w:sz w:val="19"/>
                <w:szCs w:val="19"/>
              </w:rPr>
              <w:t xml:space="preserve">Equation 5: Temperature-scaled token probability distribution</w:t>
            </w:r>
          </w:p>
        </w:tc>
      </w:tr>
    </w:tbl>
    <w:p>
      <w:pPr>
        <w:spacing w:after="80" w:before="60"/>
      </w:pPr>
      <w:r>
        <w:rPr>
          <w:rFonts w:ascii="Calibri" w:cs="Calibri" w:eastAsia="Calibri" w:hAnsi="Calibri"/>
          <w:color w:val="000000"/>
          <w:sz w:val="21"/>
          <w:szCs w:val="21"/>
        </w:rPr>
        <w:t xml:space="preserve">The decoding temperature T is adjusted based on the functional task:</w:t>
      </w:r>
    </w:p>
    <w:p>
      <w:pPr>
        <w:pStyle w:val="ListParagraph"/>
        <w:numPr>
          <w:ilvl w:val="0"/>
          <w:numId w:val="1"/>
        </w:numPr>
        <w:spacing w:after="60" w:before="40"/>
      </w:pPr>
      <w:r>
        <w:rPr>
          <w:rFonts w:ascii="Calibri" w:cs="Calibri" w:eastAsia="Calibri" w:hAnsi="Calibri"/>
          <w:b/>
          <w:bCs/>
          <w:color w:val="000000"/>
          <w:sz w:val="21"/>
          <w:szCs w:val="21"/>
        </w:rPr>
        <w:t xml:space="preserve">Deterministic Clinical Parsing (T = 0.1 to 0.2): </w:t>
      </w:r>
      <w:r>
        <w:rPr>
          <w:rFonts w:ascii="Calibri" w:cs="Calibri" w:eastAsia="Calibri" w:hAnsi="Calibri"/>
          <w:color w:val="000000"/>
          <w:sz w:val="21"/>
          <w:szCs w:val="21"/>
        </w:rPr>
        <w:t xml:space="preserve">Minimizes output entropy. When parsing spoken child records (e.g., extracting weight 12.8 kg or age 3 years), the distribution must be near-greedy to guarantee that numbers and names are extracted without hallucination.</w:t>
      </w:r>
    </w:p>
    <w:p>
      <w:pPr>
        <w:pStyle w:val="ListParagraph"/>
        <w:numPr>
          <w:ilvl w:val="0"/>
          <w:numId w:val="1"/>
        </w:numPr>
        <w:spacing w:after="60" w:before="40"/>
      </w:pPr>
      <w:r>
        <w:rPr>
          <w:rFonts w:ascii="Calibri" w:cs="Calibri" w:eastAsia="Calibri" w:hAnsi="Calibri"/>
          <w:b/>
          <w:bCs/>
          <w:color w:val="000000"/>
          <w:sz w:val="21"/>
          <w:szCs w:val="21"/>
        </w:rPr>
        <w:t xml:space="preserve">Empathetic Dialogue Generation (T = 0.65 to 0.75): </w:t>
      </w:r>
      <w:r>
        <w:rPr>
          <w:rFonts w:ascii="Calibri" w:cs="Calibri" w:eastAsia="Calibri" w:hAnsi="Calibri"/>
          <w:color w:val="000000"/>
          <w:sz w:val="21"/>
          <w:szCs w:val="21"/>
        </w:rPr>
        <w:t xml:space="preserve">Increases entropy slightly to allow natural, conversational variation in Telugu, Hindi, and English parental advice, ensuring explanations feel warm and personalized rather than mechanical.</w:t>
      </w:r>
    </w:p>
    <w:p>
      <w:pPr>
        <w:pStyle w:val="Heading2"/>
        <w:spacing w:after="100" w:before="240"/>
      </w:pPr>
      <w:r>
        <w:rPr>
          <w:rFonts w:ascii="Calibri" w:cs="Calibri" w:eastAsia="Calibri" w:hAnsi="Calibri"/>
          <w:b/>
          <w:bCs/>
          <w:color w:val="000000"/>
          <w:sz w:val="24"/>
          <w:szCs w:val="24"/>
        </w:rPr>
        <w:t xml:space="preserve">3.2. Nucleus (Top-p) Sampling Threshold</w:t>
      </w:r>
    </w:p>
    <w:p>
      <w:pPr>
        <w:spacing w:after="80" w:before="60"/>
      </w:pPr>
      <w:r>
        <w:rPr>
          <w:rFonts w:ascii="Calibri" w:cs="Calibri" w:eastAsia="Calibri" w:hAnsi="Calibri"/>
          <w:color w:val="000000"/>
          <w:sz w:val="21"/>
          <w:szCs w:val="21"/>
        </w:rPr>
        <w:t xml:space="preserve">To prevent low-probability nonsensical tokens from entering maternal counseling scripts, the sampling space is truncated dynamically using nucleus sampling: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1F5F9" w:val="clear"/>
            <w:tcMar>
              <w:top w:type="dxa" w:w="120"/>
              <w:left w:type="dxa" w:w="160"/>
              <w:bottom w:type="dxa" w:w="120"/>
              <w:right w:type="dxa" w:w="160"/>
            </w:tcMar>
          </w:tcPr>
          <w:p>
            <w:pPr>
              <w:spacing w:after="60" w:before="100"/>
              <w:jc w:val="center"/>
            </w:pPr>
            <w:r>
              <w:rPr>
                <w:rFonts w:ascii="Consolas" w:cs="Consolas" w:eastAsia="Consolas" w:hAnsi="Consolas"/>
                <w:b/>
                <w:bCs/>
                <w:color w:val="000000"/>
                <w:sz w:val="22"/>
                <w:szCs w:val="22"/>
              </w:rPr>
              <w:t xml:space="preserve">Sum_{w in V^(p)} P(w) &gt;= p</w:t>
            </w:r>
          </w:p>
          <w:p>
            <w:pPr>
              <w:spacing w:after="120" w:before="0"/>
              <w:jc w:val="center"/>
            </w:pPr>
            <w:r>
              <w:rPr>
                <w:rFonts w:ascii="Calibri" w:cs="Calibri" w:eastAsia="Calibri" w:hAnsi="Calibri"/>
                <w:color w:val="000000"/>
                <w:sz w:val="19"/>
                <w:szCs w:val="19"/>
              </w:rPr>
              <w:t xml:space="preserve">Equation 6: Nucleus sampling where p = 0.90, filtering the tail distribution</w:t>
            </w:r>
          </w:p>
        </w:tc>
      </w:tr>
    </w:tbl>
    <w:p>
      <w:pPr>
        <w:pStyle w:val="Heading2"/>
        <w:spacing w:after="100" w:before="240"/>
      </w:pPr>
      <w:r>
        <w:rPr>
          <w:rFonts w:ascii="Calibri" w:cs="Calibri" w:eastAsia="Calibri" w:hAnsi="Calibri"/>
          <w:b/>
          <w:bCs/>
          <w:color w:val="000000"/>
          <w:sz w:val="24"/>
          <w:szCs w:val="24"/>
        </w:rPr>
        <w:t xml:space="preserve">3.3. Grounding and Prompt Engineering Architecture</w:t>
      </w:r>
    </w:p>
    <w:p>
      <w:pPr>
        <w:spacing w:after="80" w:before="60"/>
      </w:pPr>
      <w:r>
        <w:rPr>
          <w:rFonts w:ascii="Calibri" w:cs="Calibri" w:eastAsia="Calibri" w:hAnsi="Calibri"/>
          <w:color w:val="000000"/>
          <w:sz w:val="21"/>
          <w:szCs w:val="21"/>
        </w:rPr>
        <w:t xml:space="preserve">The ParentExplanationGenerator formats clinical inputs into strict context boundaries to guarantee factual fidelity:</w:t>
      </w:r>
    </w:p>
    <w:p>
      <w:pPr>
        <w:pStyle w:val="ListParagraph"/>
        <w:numPr>
          <w:ilvl w:val="0"/>
          <w:numId w:val="1"/>
        </w:numPr>
        <w:spacing w:after="60" w:before="40"/>
      </w:pPr>
      <w:r>
        <w:rPr>
          <w:rFonts w:ascii="Calibri" w:cs="Calibri" w:eastAsia="Calibri" w:hAnsi="Calibri"/>
          <w:b/>
          <w:bCs/>
          <w:color w:val="000000"/>
          <w:sz w:val="21"/>
          <w:szCs w:val="21"/>
        </w:rPr>
        <w:t xml:space="preserve">Input Conditioning: </w:t>
      </w:r>
      <w:r>
        <w:rPr>
          <w:rFonts w:ascii="Calibri" w:cs="Calibri" w:eastAsia="Calibri" w:hAnsi="Calibri"/>
          <w:color w:val="000000"/>
          <w:sz w:val="21"/>
          <w:szCs w:val="21"/>
        </w:rPr>
        <w:t xml:space="preserve">Injects the child's name, gender, exact age, HAZ Z-score, WAZ Z-score, WHZ Z-score, reported milestone history, and the mother's preferred language.</w:t>
      </w:r>
    </w:p>
    <w:p>
      <w:pPr>
        <w:pStyle w:val="ListParagraph"/>
        <w:numPr>
          <w:ilvl w:val="0"/>
          <w:numId w:val="1"/>
        </w:numPr>
        <w:spacing w:after="60" w:before="40"/>
      </w:pPr>
      <w:r>
        <w:rPr>
          <w:rFonts w:ascii="Calibri" w:cs="Calibri" w:eastAsia="Calibri" w:hAnsi="Calibri"/>
          <w:b/>
          <w:bCs/>
          <w:color w:val="000000"/>
          <w:sz w:val="21"/>
          <w:szCs w:val="21"/>
        </w:rPr>
        <w:t xml:space="preserve">Affirmation Conditioning: </w:t>
      </w:r>
      <w:r>
        <w:rPr>
          <w:rFonts w:ascii="Calibri" w:cs="Calibri" w:eastAsia="Calibri" w:hAnsi="Calibri"/>
          <w:color w:val="000000"/>
          <w:sz w:val="21"/>
          <w:szCs w:val="21"/>
        </w:rPr>
        <w:t xml:space="preserve">Enforces a mandatory rule that every counseling script must begin by acknowledging a developmental strength (e.g., motor activity or positive height growth) before addressing weight stagnation.</w:t>
      </w:r>
    </w:p>
    <w:p>
      <w:pPr>
        <w:pStyle w:val="ListParagraph"/>
        <w:numPr>
          <w:ilvl w:val="0"/>
          <w:numId w:val="1"/>
        </w:numPr>
        <w:spacing w:after="60" w:before="40"/>
      </w:pPr>
      <w:r>
        <w:rPr>
          <w:rFonts w:ascii="Calibri" w:cs="Calibri" w:eastAsia="Calibri" w:hAnsi="Calibri"/>
          <w:b/>
          <w:bCs/>
          <w:color w:val="000000"/>
          <w:sz w:val="21"/>
          <w:szCs w:val="21"/>
        </w:rPr>
        <w:t xml:space="preserve">Kitchen Ingredient Constraint: </w:t>
      </w:r>
      <w:r>
        <w:rPr>
          <w:rFonts w:ascii="Calibri" w:cs="Calibri" w:eastAsia="Calibri" w:hAnsi="Calibri"/>
          <w:color w:val="000000"/>
          <w:sz w:val="21"/>
          <w:szCs w:val="21"/>
        </w:rPr>
        <w:t xml:space="preserve">The prompt forbids proprietary formula powders. It instructs the model to select exclusively from low-cost, regionally accessible staples: roasted Bengal gram, groundnut powder, drumstick leaves, eggs, and jaggery.</w:t>
      </w:r>
    </w:p>
    <w:p>
      <w:pPr>
        <w:pStyle w:val="Heading1"/>
        <w:spacing w:after="120" w:before="300"/>
      </w:pPr>
      <w:r>
        <w:rPr>
          <w:rFonts w:ascii="Calibri" w:cs="Calibri" w:eastAsia="Calibri" w:hAnsi="Calibri"/>
          <w:b/>
          <w:bCs/>
          <w:color w:val="000000"/>
          <w:sz w:val="28"/>
          <w:szCs w:val="28"/>
        </w:rPr>
        <w:t xml:space="preserve">4. Longitudinal Trajectory Analysis and Dynamic Faltering Mathematics</w:t>
      </w:r>
    </w:p>
    <w:p>
      <w:pPr>
        <w:spacing w:after="80" w:before="60"/>
      </w:pPr>
      <w:r>
        <w:rPr>
          <w:rFonts w:ascii="Calibri" w:cs="Calibri" w:eastAsia="Calibri" w:hAnsi="Calibri"/>
          <w:color w:val="000000"/>
          <w:sz w:val="21"/>
          <w:szCs w:val="21"/>
        </w:rPr>
        <w:t xml:space="preserve">Static single-point anthropometry fails to detect nutritional faltering early. A child who starts at +1.5 SD and drops to -1.8 SD has lost significant physiological reserve, yet conventional registers classify the child as 'Normal' because the metric has not crossed the -2.0 SD line. Balamitra resolves this by calculating longitudinal velocity and trajectory curvature.</w:t>
      </w:r>
    </w:p>
    <w:p>
      <w:pPr>
        <w:pStyle w:val="Heading2"/>
        <w:spacing w:after="100" w:before="240"/>
      </w:pPr>
      <w:r>
        <w:rPr>
          <w:rFonts w:ascii="Calibri" w:cs="Calibri" w:eastAsia="Calibri" w:hAnsi="Calibri"/>
          <w:b/>
          <w:bCs/>
          <w:color w:val="000000"/>
          <w:sz w:val="24"/>
          <w:szCs w:val="24"/>
        </w:rPr>
        <w:t xml:space="preserve">4.1. Anthropometric Velocity Equations</w:t>
      </w:r>
    </w:p>
    <w:p>
      <w:pPr>
        <w:spacing w:after="80" w:before="60"/>
      </w:pPr>
      <w:r>
        <w:rPr>
          <w:rFonts w:ascii="Calibri" w:cs="Calibri" w:eastAsia="Calibri" w:hAnsi="Calibri"/>
          <w:color w:val="000000"/>
          <w:sz w:val="21"/>
          <w:szCs w:val="21"/>
        </w:rPr>
        <w:t xml:space="preserve">For any two consecutive assessment visits at timestamps t1 and t2 with measurements W1 and W2 (weight) and H1 and H2 (height), normalized monthly velocities are computed: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1F5F9" w:val="clear"/>
            <w:tcMar>
              <w:top w:type="dxa" w:w="120"/>
              <w:left w:type="dxa" w:w="160"/>
              <w:bottom w:type="dxa" w:w="120"/>
              <w:right w:type="dxa" w:w="160"/>
            </w:tcMar>
          </w:tcPr>
          <w:p>
            <w:pPr>
              <w:spacing w:after="60" w:before="100"/>
              <w:jc w:val="center"/>
            </w:pPr>
            <w:r>
              <w:rPr>
                <w:rFonts w:ascii="Consolas" w:cs="Consolas" w:eastAsia="Consolas" w:hAnsi="Consolas"/>
                <w:b/>
                <w:bCs/>
                <w:color w:val="000000"/>
                <w:sz w:val="22"/>
                <w:szCs w:val="22"/>
              </w:rPr>
              <w:t xml:space="preserve">V_w = [ (W2 - W1) / (t2 - t1) ] * 30</w:t>
            </w:r>
          </w:p>
          <w:p>
            <w:pPr>
              <w:spacing w:after="120" w:before="0"/>
              <w:jc w:val="center"/>
            </w:pPr>
            <w:r>
              <w:rPr>
                <w:rFonts w:ascii="Calibri" w:cs="Calibri" w:eastAsia="Calibri" w:hAnsi="Calibri"/>
                <w:color w:val="000000"/>
                <w:sz w:val="19"/>
                <w:szCs w:val="19"/>
              </w:rPr>
              <w:t xml:space="preserve">Equation 7: Monthly weight velocity normalized to grams per 30-day interval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1F5F9" w:val="clear"/>
            <w:tcMar>
              <w:top w:type="dxa" w:w="120"/>
              <w:left w:type="dxa" w:w="160"/>
              <w:bottom w:type="dxa" w:w="120"/>
              <w:right w:type="dxa" w:w="160"/>
            </w:tcMar>
          </w:tcPr>
          <w:p>
            <w:pPr>
              <w:spacing w:after="60" w:before="100"/>
              <w:jc w:val="center"/>
            </w:pPr>
            <w:r>
              <w:rPr>
                <w:rFonts w:ascii="Consolas" w:cs="Consolas" w:eastAsia="Consolas" w:hAnsi="Consolas"/>
                <w:b/>
                <w:bCs/>
                <w:color w:val="000000"/>
                <w:sz w:val="22"/>
                <w:szCs w:val="22"/>
              </w:rPr>
              <w:t xml:space="preserve">V_h = [ (H2 - H1) / (t2 - t1) ] * 30</w:t>
            </w:r>
          </w:p>
          <w:p>
            <w:pPr>
              <w:spacing w:after="120" w:before="0"/>
              <w:jc w:val="center"/>
            </w:pPr>
            <w:r>
              <w:rPr>
                <w:rFonts w:ascii="Calibri" w:cs="Calibri" w:eastAsia="Calibri" w:hAnsi="Calibri"/>
                <w:color w:val="000000"/>
                <w:sz w:val="19"/>
                <w:szCs w:val="19"/>
              </w:rPr>
              <w:t xml:space="preserve">Equation 8: Monthly linear growth velocity normalized to centimeters per 30-day interval</w:t>
            </w:r>
          </w:p>
        </w:tc>
      </w:tr>
    </w:tbl>
    <w:p>
      <w:pPr>
        <w:pStyle w:val="Heading2"/>
        <w:spacing w:after="100" w:before="240"/>
      </w:pPr>
      <w:r>
        <w:rPr>
          <w:rFonts w:ascii="Calibri" w:cs="Calibri" w:eastAsia="Calibri" w:hAnsi="Calibri"/>
          <w:b/>
          <w:bCs/>
          <w:color w:val="000000"/>
          <w:sz w:val="24"/>
          <w:szCs w:val="24"/>
        </w:rPr>
        <w:t xml:space="preserve">4.2. Trajectory Curvature and Faltering Detection</w:t>
      </w:r>
    </w:p>
    <w:p>
      <w:pPr>
        <w:spacing w:after="80" w:before="60"/>
      </w:pPr>
      <w:r>
        <w:rPr>
          <w:rFonts w:ascii="Calibri" w:cs="Calibri" w:eastAsia="Calibri" w:hAnsi="Calibri"/>
          <w:color w:val="000000"/>
          <w:sz w:val="21"/>
          <w:szCs w:val="21"/>
        </w:rPr>
        <w:t xml:space="preserve">When three or more sequential assessments are recorded, Balamitra fits a piecewise polynomial curve W(t) to evaluate the second derivative of the growth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1F5F9" w:val="clear"/>
            <w:tcMar>
              <w:top w:type="dxa" w:w="120"/>
              <w:left w:type="dxa" w:w="160"/>
              <w:bottom w:type="dxa" w:w="120"/>
              <w:right w:type="dxa" w:w="160"/>
            </w:tcMar>
          </w:tcPr>
          <w:p>
            <w:pPr>
              <w:spacing w:after="60" w:before="100"/>
              <w:jc w:val="center"/>
            </w:pPr>
            <w:r>
              <w:rPr>
                <w:rFonts w:ascii="Consolas" w:cs="Consolas" w:eastAsia="Consolas" w:hAnsi="Consolas"/>
                <w:b/>
                <w:bCs/>
                <w:color w:val="000000"/>
                <w:sz w:val="22"/>
                <w:szCs w:val="22"/>
              </w:rPr>
              <w:t xml:space="preserve">d^2 W / dt^2 &lt; 0</w:t>
            </w:r>
          </w:p>
          <w:p>
            <w:pPr>
              <w:spacing w:after="120" w:before="0"/>
              <w:jc w:val="center"/>
            </w:pPr>
            <w:r>
              <w:rPr>
                <w:rFonts w:ascii="Calibri" w:cs="Calibri" w:eastAsia="Calibri" w:hAnsi="Calibri"/>
                <w:color w:val="000000"/>
                <w:sz w:val="19"/>
                <w:szCs w:val="19"/>
              </w:rPr>
              <w:t xml:space="preserve">Equation 9: Negative acceleration signaling progressive deceleration in weight gain</w:t>
            </w:r>
          </w:p>
        </w:tc>
      </w:tr>
    </w:tbl>
    <w:p>
      <w:pPr>
        <w:spacing w:after="80" w:before="60"/>
      </w:pPr>
      <w:r>
        <w:rPr>
          <w:rFonts w:ascii="Calibri" w:cs="Calibri" w:eastAsia="Calibri" w:hAnsi="Calibri"/>
          <w:color w:val="000000"/>
          <w:sz w:val="21"/>
          <w:szCs w:val="21"/>
        </w:rPr>
        <w:t xml:space="preserve">If the second derivative is negative while linear height growth continues normally, the ConnectTheDotsEngine correlates this deceleration against two parallel data streams:</w:t>
      </w:r>
    </w:p>
    <w:p>
      <w:pPr>
        <w:pStyle w:val="ListParagraph"/>
        <w:numPr>
          <w:ilvl w:val="0"/>
          <w:numId w:val="1"/>
        </w:numPr>
        <w:spacing w:after="60" w:before="40"/>
      </w:pPr>
      <w:r>
        <w:rPr>
          <w:rFonts w:ascii="Calibri" w:cs="Calibri" w:eastAsia="Calibri" w:hAnsi="Calibri"/>
          <w:b/>
          <w:bCs/>
          <w:color w:val="000000"/>
          <w:sz w:val="21"/>
          <w:szCs w:val="21"/>
        </w:rPr>
        <w:t xml:space="preserve">Recent Morbidity Events: </w:t>
      </w:r>
      <w:r>
        <w:rPr>
          <w:rFonts w:ascii="Calibri" w:cs="Calibri" w:eastAsia="Calibri" w:hAnsi="Calibri"/>
          <w:color w:val="000000"/>
          <w:sz w:val="21"/>
          <w:szCs w:val="21"/>
        </w:rPr>
        <w:t xml:space="preserve">Cross-references medical logs for reported diarrhea, febrile episodes, or loss of appetite within the preceding 30 days.</w:t>
      </w:r>
    </w:p>
    <w:p>
      <w:pPr>
        <w:pStyle w:val="ListParagraph"/>
        <w:numPr>
          <w:ilvl w:val="0"/>
          <w:numId w:val="1"/>
        </w:numPr>
        <w:spacing w:after="60" w:before="40"/>
      </w:pPr>
      <w:r>
        <w:rPr>
          <w:rFonts w:ascii="Calibri" w:cs="Calibri" w:eastAsia="Calibri" w:hAnsi="Calibri"/>
          <w:b/>
          <w:bCs/>
          <w:color w:val="000000"/>
          <w:sz w:val="21"/>
          <w:szCs w:val="21"/>
        </w:rPr>
        <w:t xml:space="preserve">Nutrition and Ration Logs: </w:t>
      </w:r>
      <w:r>
        <w:rPr>
          <w:rFonts w:ascii="Calibri" w:cs="Calibri" w:eastAsia="Calibri" w:hAnsi="Calibri"/>
          <w:color w:val="000000"/>
          <w:sz w:val="21"/>
          <w:szCs w:val="21"/>
        </w:rPr>
        <w:t xml:space="preserve">Evaluates mid-day meal attendance records to determine if caloric deficit was acute or sustained.</w:t>
      </w:r>
    </w:p>
    <w:p>
      <w:pPr>
        <w:pStyle w:val="ListParagraph"/>
        <w:numPr>
          <w:ilvl w:val="0"/>
          <w:numId w:val="1"/>
        </w:numPr>
        <w:spacing w:after="60" w:before="40"/>
      </w:pPr>
      <w:r>
        <w:rPr>
          <w:rFonts w:ascii="Calibri" w:cs="Calibri" w:eastAsia="Calibri" w:hAnsi="Calibri"/>
          <w:b/>
          <w:bCs/>
          <w:color w:val="000000"/>
          <w:sz w:val="21"/>
          <w:szCs w:val="21"/>
        </w:rPr>
        <w:t xml:space="preserve">Synthesis Narrative: </w:t>
      </w:r>
      <w:r>
        <w:rPr>
          <w:rFonts w:ascii="Calibri" w:cs="Calibri" w:eastAsia="Calibri" w:hAnsi="Calibri"/>
          <w:color w:val="000000"/>
          <w:sz w:val="21"/>
          <w:szCs w:val="21"/>
        </w:rPr>
        <w:t xml:space="preserve">Generates an objective causal statement: 'Ramesh maintained linear height progression (+1.2 cm), but weight velocity stagnated following reported fever two weeks ago. Fine-motor grip score remains stable. Recommendation: Add local calorie-dense supplementation and monitor hydration for 14 days.'</w:t>
      </w:r>
    </w:p>
    <w:p>
      <w:pPr>
        <w:pStyle w:val="Heading1"/>
        <w:spacing w:after="120" w:before="300"/>
      </w:pPr>
      <w:r>
        <w:rPr>
          <w:rFonts w:ascii="Calibri" w:cs="Calibri" w:eastAsia="Calibri" w:hAnsi="Calibri"/>
          <w:b/>
          <w:bCs/>
          <w:color w:val="000000"/>
          <w:sz w:val="28"/>
          <w:szCs w:val="28"/>
        </w:rPr>
        <w:t xml:space="preserve">5. Natural Language Understanding and Acoustic Speech Tokenization</w:t>
      </w:r>
    </w:p>
    <w:p>
      <w:pPr>
        <w:spacing w:after="80" w:before="60"/>
      </w:pPr>
      <w:r>
        <w:rPr>
          <w:rFonts w:ascii="Calibri" w:cs="Calibri" w:eastAsia="Calibri" w:hAnsi="Calibri"/>
          <w:color w:val="000000"/>
          <w:sz w:val="21"/>
          <w:szCs w:val="21"/>
        </w:rPr>
        <w:t xml:space="preserve">Field testing demonstrated that typing on virtual mobile keyboards caused significant data entry abandonment among frontline workers. Balamitra implements an on-device multilingual speech tokenization pipeline (ChildEnrollmentVoiceParser.kt).</w:t>
      </w:r>
    </w:p>
    <w:p>
      <w:pPr>
        <w:pStyle w:val="Heading2"/>
        <w:spacing w:after="100" w:before="240"/>
      </w:pPr>
      <w:r>
        <w:rPr>
          <w:rFonts w:ascii="Calibri" w:cs="Calibri" w:eastAsia="Calibri" w:hAnsi="Calibri"/>
          <w:b/>
          <w:bCs/>
          <w:color w:val="000000"/>
          <w:sz w:val="24"/>
          <w:szCs w:val="24"/>
        </w:rPr>
        <w:t xml:space="preserve">5.1. Phonetic Tolerance via Levenshtein Distance</w:t>
      </w:r>
    </w:p>
    <w:p>
      <w:pPr>
        <w:spacing w:after="80" w:before="60"/>
      </w:pPr>
      <w:r>
        <w:rPr>
          <w:rFonts w:ascii="Calibri" w:cs="Calibri" w:eastAsia="Calibri" w:hAnsi="Calibri"/>
          <w:color w:val="000000"/>
          <w:sz w:val="21"/>
          <w:szCs w:val="21"/>
        </w:rPr>
        <w:t xml:space="preserve">Regional dialects, rural acoustic environments, and varied worker accents frequently introduce minor phonetic character permutations during speech-to-text transcription. To reconcile keyword variants without failing, the parser evaluates string similarity using the Levenshtein edit distance metric: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6"/>
              <w:left w:val="single" w:color="000000" w:sz="6"/>
              <w:bottom w:val="single" w:color="000000" w:sz="6"/>
              <w:right w:val="single" w:color="000000" w:sz="6"/>
            </w:tcBorders>
            <w:shd w:fill="F1F5F9" w:val="clear"/>
            <w:tcMar>
              <w:top w:type="dxa" w:w="120"/>
              <w:left w:type="dxa" w:w="160"/>
              <w:bottom w:type="dxa" w:w="120"/>
              <w:right w:type="dxa" w:w="160"/>
            </w:tcMar>
          </w:tcPr>
          <w:p>
            <w:pPr>
              <w:spacing w:after="60" w:before="100"/>
              <w:jc w:val="center"/>
            </w:pPr>
            <w:r>
              <w:rPr>
                <w:rFonts w:ascii="Consolas" w:cs="Consolas" w:eastAsia="Consolas" w:hAnsi="Consolas"/>
                <w:b/>
                <w:bCs/>
                <w:color w:val="000000"/>
                <w:sz w:val="22"/>
                <w:szCs w:val="22"/>
              </w:rPr>
              <w:t xml:space="preserve">lev(a, b) = min [ lev(a-1, b)+1, lev(a, b-1)+1, lev(a-1, b-1) + cost ]</w:t>
            </w:r>
          </w:p>
          <w:p>
            <w:pPr>
              <w:spacing w:after="120" w:before="0"/>
              <w:jc w:val="center"/>
            </w:pPr>
            <w:r>
              <w:rPr>
                <w:rFonts w:ascii="Calibri" w:cs="Calibri" w:eastAsia="Calibri" w:hAnsi="Calibri"/>
                <w:color w:val="000000"/>
                <w:sz w:val="19"/>
                <w:szCs w:val="19"/>
              </w:rPr>
              <w:t xml:space="preserve">Equation 10: Levenshtein distance calculating minimal insertion, deletion, and substitution operations</w:t>
            </w:r>
          </w:p>
        </w:tc>
      </w:tr>
    </w:tbl>
    <w:p>
      <w:pPr>
        <w:pStyle w:val="Heading2"/>
        <w:spacing w:after="100" w:before="240"/>
      </w:pPr>
      <w:r>
        <w:rPr>
          <w:rFonts w:ascii="Calibri" w:cs="Calibri" w:eastAsia="Calibri" w:hAnsi="Calibri"/>
          <w:b/>
          <w:bCs/>
          <w:color w:val="000000"/>
          <w:sz w:val="24"/>
          <w:szCs w:val="24"/>
        </w:rPr>
        <w:t xml:space="preserve">5.2. Deterministic Regex Tokenizer and Slot Extraction</w:t>
      </w:r>
    </w:p>
    <w:p>
      <w:pPr>
        <w:spacing w:after="80" w:before="60"/>
      </w:pPr>
      <w:r>
        <w:rPr>
          <w:rFonts w:ascii="Calibri" w:cs="Calibri" w:eastAsia="Calibri" w:hAnsi="Calibri"/>
          <w:color w:val="000000"/>
          <w:sz w:val="21"/>
          <w:szCs w:val="21"/>
        </w:rPr>
        <w:t xml:space="preserve">Once transcribed, the speech string passes through a regular expression tokenization matrix that extracts seven clinical attributes:</w:t>
      </w:r>
    </w:p>
    <w:p>
      <w:pPr>
        <w:pStyle w:val="ListParagraph"/>
        <w:numPr>
          <w:ilvl w:val="0"/>
          <w:numId w:val="1"/>
        </w:numPr>
        <w:spacing w:after="60" w:before="40"/>
      </w:pPr>
      <w:r>
        <w:rPr>
          <w:rFonts w:ascii="Calibri" w:cs="Calibri" w:eastAsia="Calibri" w:hAnsi="Calibri"/>
          <w:b/>
          <w:bCs/>
          <w:color w:val="000000"/>
          <w:sz w:val="21"/>
          <w:szCs w:val="21"/>
        </w:rPr>
        <w:t xml:space="preserve">Child Name: </w:t>
      </w:r>
      <w:r>
        <w:rPr>
          <w:rFonts w:ascii="Calibri" w:cs="Calibri" w:eastAsia="Calibri" w:hAnsi="Calibri"/>
          <w:color w:val="000000"/>
          <w:sz w:val="21"/>
          <w:szCs w:val="21"/>
        </w:rPr>
        <w:t xml:space="preserve">Matches strings following native prefixes (Telugu: పేరు, బాబు పేరు, పాప పేరు; Hindi: नाम, बच्चे का नाम; English: name is, child name) while enforcing character length bounds between 2 and 30 characters.</w:t>
      </w:r>
    </w:p>
    <w:p>
      <w:pPr>
        <w:pStyle w:val="ListParagraph"/>
        <w:numPr>
          <w:ilvl w:val="0"/>
          <w:numId w:val="1"/>
        </w:numPr>
        <w:spacing w:after="60" w:before="40"/>
      </w:pPr>
      <w:r>
        <w:rPr>
          <w:rFonts w:ascii="Calibri" w:cs="Calibri" w:eastAsia="Calibri" w:hAnsi="Calibri"/>
          <w:b/>
          <w:bCs/>
          <w:color w:val="000000"/>
          <w:sz w:val="21"/>
          <w:szCs w:val="21"/>
        </w:rPr>
        <w:t xml:space="preserve">Age (Years and Months): </w:t>
      </w:r>
      <w:r>
        <w:rPr>
          <w:rFonts w:ascii="Calibri" w:cs="Calibri" w:eastAsia="Calibri" w:hAnsi="Calibri"/>
          <w:color w:val="000000"/>
          <w:sz w:val="21"/>
          <w:szCs w:val="21"/>
        </w:rPr>
        <w:t xml:space="preserve">Extracts numerical integers preceding or following age keywords (సంవత్సరాలు, साल, years), while simultaneously mapping written number words (ఒకటి, రెండు, మూడు, నాలుగు, ఐదు to 1, 2, 3, 4, 5; and एक, दो, तीन, चार, पाँच to 1, 2, 3, 4, 5).</w:t>
      </w:r>
    </w:p>
    <w:p>
      <w:pPr>
        <w:pStyle w:val="ListParagraph"/>
        <w:numPr>
          <w:ilvl w:val="0"/>
          <w:numId w:val="1"/>
        </w:numPr>
        <w:spacing w:after="60" w:before="40"/>
      </w:pPr>
      <w:r>
        <w:rPr>
          <w:rFonts w:ascii="Calibri" w:cs="Calibri" w:eastAsia="Calibri" w:hAnsi="Calibri"/>
          <w:b/>
          <w:bCs/>
          <w:color w:val="000000"/>
          <w:sz w:val="21"/>
          <w:szCs w:val="21"/>
        </w:rPr>
        <w:t xml:space="preserve">Gender: </w:t>
      </w:r>
      <w:r>
        <w:rPr>
          <w:rFonts w:ascii="Calibri" w:cs="Calibri" w:eastAsia="Calibri" w:hAnsi="Calibri"/>
          <w:color w:val="000000"/>
          <w:sz w:val="21"/>
          <w:szCs w:val="21"/>
        </w:rPr>
        <w:t xml:space="preserve">Scans for female markers (పాప, బాలిక, ఆడ, लड़की, girl, female) to set Gender = 'F', defaulting to 'M' upon boy markers (బాబు, लड़का, boy, male).</w:t>
      </w:r>
    </w:p>
    <w:p>
      <w:pPr>
        <w:pStyle w:val="ListParagraph"/>
        <w:numPr>
          <w:ilvl w:val="0"/>
          <w:numId w:val="1"/>
        </w:numPr>
        <w:spacing w:after="60" w:before="40"/>
      </w:pPr>
      <w:r>
        <w:rPr>
          <w:rFonts w:ascii="Calibri" w:cs="Calibri" w:eastAsia="Calibri" w:hAnsi="Calibri"/>
          <w:b/>
          <w:bCs/>
          <w:color w:val="000000"/>
          <w:sz w:val="21"/>
          <w:szCs w:val="21"/>
        </w:rPr>
        <w:t xml:space="preserve">Weight and Height: </w:t>
      </w:r>
      <w:r>
        <w:rPr>
          <w:rFonts w:ascii="Calibri" w:cs="Calibri" w:eastAsia="Calibri" w:hAnsi="Calibri"/>
          <w:color w:val="000000"/>
          <w:sz w:val="21"/>
          <w:szCs w:val="21"/>
        </w:rPr>
        <w:t xml:space="preserve">Captures decimal numbers bounded by physiological sanity thresholds: weight restricted between 4.0 kg and 45.0 kg, and height restricted between 40.0 cm and 140.0 cm.</w:t>
      </w:r>
    </w:p>
    <w:p>
      <w:pPr>
        <w:pStyle w:val="ListParagraph"/>
        <w:numPr>
          <w:ilvl w:val="0"/>
          <w:numId w:val="1"/>
        </w:numPr>
        <w:spacing w:after="60" w:before="40"/>
      </w:pPr>
      <w:r>
        <w:rPr>
          <w:rFonts w:ascii="Calibri" w:cs="Calibri" w:eastAsia="Calibri" w:hAnsi="Calibri"/>
          <w:b/>
          <w:bCs/>
          <w:color w:val="000000"/>
          <w:sz w:val="21"/>
          <w:szCs w:val="21"/>
        </w:rPr>
        <w:t xml:space="preserve">Family and Ward Identifiers: </w:t>
      </w:r>
      <w:r>
        <w:rPr>
          <w:rFonts w:ascii="Calibri" w:cs="Calibri" w:eastAsia="Calibri" w:hAnsi="Calibri"/>
          <w:color w:val="000000"/>
          <w:sz w:val="21"/>
          <w:szCs w:val="21"/>
        </w:rPr>
        <w:t xml:space="preserve">Extracts father name, mother name, and village/ward number from respective contextual boundary segments.</w:t>
      </w:r>
    </w:p>
    <w:p>
      <w:pPr>
        <w:pStyle w:val="Heading1"/>
        <w:spacing w:after="120" w:before="300"/>
      </w:pPr>
      <w:r>
        <w:rPr>
          <w:rFonts w:ascii="Calibri" w:cs="Calibri" w:eastAsia="Calibri" w:hAnsi="Calibri"/>
          <w:b/>
          <w:bCs/>
          <w:color w:val="000000"/>
          <w:sz w:val="28"/>
          <w:szCs w:val="28"/>
        </w:rPr>
        <w:t xml:space="preserve">6. Software Architecture and Edge Storage</w:t>
      </w:r>
    </w:p>
    <w:p>
      <w:pPr>
        <w:spacing w:after="80" w:before="60"/>
      </w:pPr>
      <w:r>
        <w:rPr>
          <w:rFonts w:ascii="Calibri" w:cs="Calibri" w:eastAsia="Calibri" w:hAnsi="Calibri"/>
          <w:color w:val="000000"/>
          <w:sz w:val="21"/>
          <w:szCs w:val="21"/>
        </w:rPr>
        <w:t xml:space="preserve">Balamitra is structured according to Android Clean Architecture principles, ensuring complete decoupling between presentation, domain logic, and persistence.</w:t>
      </w:r>
    </w:p>
    <w:p>
      <w:pPr>
        <w:pStyle w:val="Heading2"/>
        <w:spacing w:after="100" w:before="240"/>
      </w:pPr>
      <w:r>
        <w:rPr>
          <w:rFonts w:ascii="Calibri" w:cs="Calibri" w:eastAsia="Calibri" w:hAnsi="Calibri"/>
          <w:b/>
          <w:bCs/>
          <w:color w:val="000000"/>
          <w:sz w:val="24"/>
          <w:szCs w:val="24"/>
        </w:rPr>
        <w:t xml:space="preserve">6.1. Layer Organization</w:t>
      </w:r>
    </w:p>
    <w:p>
      <w:pPr>
        <w:pStyle w:val="ListParagraph"/>
        <w:numPr>
          <w:ilvl w:val="0"/>
          <w:numId w:val="1"/>
        </w:numPr>
        <w:spacing w:after="60" w:before="40"/>
      </w:pPr>
      <w:r>
        <w:rPr>
          <w:rFonts w:ascii="Calibri" w:cs="Calibri" w:eastAsia="Calibri" w:hAnsi="Calibri"/>
          <w:b/>
          <w:bCs/>
          <w:color w:val="000000"/>
          <w:sz w:val="21"/>
          <w:szCs w:val="21"/>
        </w:rPr>
        <w:t xml:space="preserve">Domain Layer: </w:t>
      </w:r>
      <w:r>
        <w:rPr>
          <w:rFonts w:ascii="Calibri" w:cs="Calibri" w:eastAsia="Calibri" w:hAnsi="Calibri"/>
          <w:color w:val="000000"/>
          <w:sz w:val="21"/>
          <w:szCs w:val="21"/>
        </w:rPr>
        <w:t xml:space="preserve">Pure Kotlin modules containing GrowthEngine, ConnectTheDotsEngine, ChildEnrollmentVoiceParser, and safety validators. This layer has zero dependencies on Android UI frameworks, allowing 100 percent unit test coverage.</w:t>
      </w:r>
    </w:p>
    <w:p>
      <w:pPr>
        <w:pStyle w:val="ListParagraph"/>
        <w:numPr>
          <w:ilvl w:val="0"/>
          <w:numId w:val="1"/>
        </w:numPr>
        <w:spacing w:after="60" w:before="40"/>
      </w:pPr>
      <w:r>
        <w:rPr>
          <w:rFonts w:ascii="Calibri" w:cs="Calibri" w:eastAsia="Calibri" w:hAnsi="Calibri"/>
          <w:b/>
          <w:bCs/>
          <w:color w:val="000000"/>
          <w:sz w:val="21"/>
          <w:szCs w:val="21"/>
        </w:rPr>
        <w:t xml:space="preserve">Data Layer: </w:t>
      </w:r>
      <w:r>
        <w:rPr>
          <w:rFonts w:ascii="Calibri" w:cs="Calibri" w:eastAsia="Calibri" w:hAnsi="Calibri"/>
          <w:color w:val="000000"/>
          <w:sz w:val="21"/>
          <w:szCs w:val="21"/>
        </w:rPr>
        <w:t xml:space="preserve">Room SQLite database (BalamitraDatabase.kt) implementing transactional integrity with SQLite Foreign Key cascades, type converters, and reactive Kotlin Coroutine Flows.</w:t>
      </w:r>
    </w:p>
    <w:p>
      <w:pPr>
        <w:pStyle w:val="ListParagraph"/>
        <w:numPr>
          <w:ilvl w:val="0"/>
          <w:numId w:val="1"/>
        </w:numPr>
        <w:spacing w:after="60" w:before="40"/>
      </w:pPr>
      <w:r>
        <w:rPr>
          <w:rFonts w:ascii="Calibri" w:cs="Calibri" w:eastAsia="Calibri" w:hAnsi="Calibri"/>
          <w:b/>
          <w:bCs/>
          <w:color w:val="000000"/>
          <w:sz w:val="21"/>
          <w:szCs w:val="21"/>
        </w:rPr>
        <w:t xml:space="preserve">Presentation Layer: </w:t>
      </w:r>
      <w:r>
        <w:rPr>
          <w:rFonts w:ascii="Calibri" w:cs="Calibri" w:eastAsia="Calibri" w:hAnsi="Calibri"/>
          <w:color w:val="000000"/>
          <w:sz w:val="21"/>
          <w:szCs w:val="21"/>
        </w:rPr>
        <w:t xml:space="preserve">Jetpack Compose with Material 3. Implements single-direction state hoisting via BalamitraViewModel and BalamitraUiState.</w:t>
      </w:r>
    </w:p>
    <w:p>
      <w:pPr>
        <w:pStyle w:val="Heading2"/>
        <w:spacing w:after="100" w:before="240"/>
      </w:pPr>
      <w:r>
        <w:rPr>
          <w:rFonts w:ascii="Calibri" w:cs="Calibri" w:eastAsia="Calibri" w:hAnsi="Calibri"/>
          <w:b/>
          <w:bCs/>
          <w:color w:val="000000"/>
          <w:sz w:val="24"/>
          <w:szCs w:val="24"/>
        </w:rPr>
        <w:t xml:space="preserve">6.2. Frugal Synchronization Protocol</w:t>
      </w:r>
    </w:p>
    <w:p>
      <w:pPr>
        <w:spacing w:after="80" w:before="60"/>
      </w:pPr>
      <w:r>
        <w:rPr>
          <w:rFonts w:ascii="Calibri" w:cs="Calibri" w:eastAsia="Calibri" w:hAnsi="Calibri"/>
          <w:color w:val="000000"/>
          <w:sz w:val="21"/>
          <w:szCs w:val="21"/>
        </w:rPr>
        <w:t xml:space="preserve">In rural hamlets with sporadic 2G/EDGE network availability, conventional bulk sync protocols fail due to timeout errors. Balamitra implements an event-driven delta synchronization strategy:</w:t>
      </w:r>
    </w:p>
    <w:p>
      <w:pPr>
        <w:pStyle w:val="ListParagraph"/>
        <w:numPr>
          <w:ilvl w:val="0"/>
          <w:numId w:val="1"/>
        </w:numPr>
        <w:spacing w:after="60" w:before="40"/>
      </w:pPr>
      <w:r>
        <w:rPr>
          <w:rFonts w:ascii="Calibri" w:cs="Calibri" w:eastAsia="Calibri" w:hAnsi="Calibri"/>
          <w:b/>
          <w:bCs/>
          <w:color w:val="000000"/>
          <w:sz w:val="21"/>
          <w:szCs w:val="21"/>
        </w:rPr>
        <w:t xml:space="preserve">Delta Extraction: </w:t>
      </w:r>
      <w:r>
        <w:rPr>
          <w:rFonts w:ascii="Calibri" w:cs="Calibri" w:eastAsia="Calibri" w:hAnsi="Calibri"/>
          <w:color w:val="000000"/>
          <w:sz w:val="21"/>
          <w:szCs w:val="21"/>
        </w:rPr>
        <w:t xml:space="preserve">Queries records where syncStatus = 'PENDING'.</w:t>
      </w:r>
    </w:p>
    <w:p>
      <w:pPr>
        <w:pStyle w:val="ListParagraph"/>
        <w:numPr>
          <w:ilvl w:val="0"/>
          <w:numId w:val="1"/>
        </w:numPr>
        <w:spacing w:after="60" w:before="40"/>
      </w:pPr>
      <w:r>
        <w:rPr>
          <w:rFonts w:ascii="Calibri" w:cs="Calibri" w:eastAsia="Calibri" w:hAnsi="Calibri"/>
          <w:b/>
          <w:bCs/>
          <w:color w:val="000000"/>
          <w:sz w:val="21"/>
          <w:szCs w:val="21"/>
        </w:rPr>
        <w:t xml:space="preserve">Compression: </w:t>
      </w:r>
      <w:r>
        <w:rPr>
          <w:rFonts w:ascii="Calibri" w:cs="Calibri" w:eastAsia="Calibri" w:hAnsi="Calibri"/>
          <w:color w:val="000000"/>
          <w:sz w:val="21"/>
          <w:szCs w:val="21"/>
        </w:rPr>
        <w:t xml:space="preserve">Serializes records to compact JSON arrays and compresses the payload via standard GZIP, reducing average transmission size to under 5 KB per batch.</w:t>
      </w:r>
    </w:p>
    <w:p>
      <w:pPr>
        <w:pStyle w:val="ListParagraph"/>
        <w:numPr>
          <w:ilvl w:val="0"/>
          <w:numId w:val="1"/>
        </w:numPr>
        <w:spacing w:after="60" w:before="40"/>
      </w:pPr>
      <w:r>
        <w:rPr>
          <w:rFonts w:ascii="Calibri" w:cs="Calibri" w:eastAsia="Calibri" w:hAnsi="Calibri"/>
          <w:b/>
          <w:bCs/>
          <w:color w:val="000000"/>
          <w:sz w:val="21"/>
          <w:szCs w:val="21"/>
        </w:rPr>
        <w:t xml:space="preserve">Integrity Verification: </w:t>
      </w:r>
      <w:r>
        <w:rPr>
          <w:rFonts w:ascii="Calibri" w:cs="Calibri" w:eastAsia="Calibri" w:hAnsi="Calibri"/>
          <w:color w:val="000000"/>
          <w:sz w:val="21"/>
          <w:szCs w:val="21"/>
        </w:rPr>
        <w:t xml:space="preserve">Computes a SHA-256 hash across the serialized payload prior to transmission, guaranteeing data integrity across unstable cellular towers.</w:t>
      </w:r>
    </w:p>
    <w:p>
      <w:pPr>
        <w:pStyle w:val="Heading1"/>
        <w:spacing w:after="120" w:before="300"/>
      </w:pPr>
      <w:r>
        <w:rPr>
          <w:rFonts w:ascii="Calibri" w:cs="Calibri" w:eastAsia="Calibri" w:hAnsi="Calibri"/>
          <w:b/>
          <w:bCs/>
          <w:color w:val="000000"/>
          <w:sz w:val="28"/>
          <w:szCs w:val="28"/>
        </w:rPr>
        <w:t xml:space="preserve">7. Ethical AI, Clinical Red-Flags, and Human Authority</w:t>
      </w:r>
    </w:p>
    <w:p>
      <w:pPr>
        <w:spacing w:after="80" w:before="60"/>
      </w:pPr>
      <w:r>
        <w:rPr>
          <w:rFonts w:ascii="Calibri" w:cs="Calibri" w:eastAsia="Calibri" w:hAnsi="Calibri"/>
          <w:color w:val="000000"/>
          <w:sz w:val="21"/>
          <w:szCs w:val="21"/>
        </w:rPr>
        <w:t xml:space="preserve">Automating healthcare decisions in vulnerable populations presents profound ethical risks. Balamitra enforces two hard boundaries in software:</w:t>
      </w:r>
    </w:p>
    <w:p>
      <w:pPr>
        <w:pStyle w:val="ListParagraph"/>
        <w:numPr>
          <w:ilvl w:val="0"/>
          <w:numId w:val="1"/>
        </w:numPr>
        <w:spacing w:after="60" w:before="40"/>
      </w:pPr>
      <w:r>
        <w:rPr>
          <w:rFonts w:ascii="Calibri" w:cs="Calibri" w:eastAsia="Calibri" w:hAnsi="Calibri"/>
          <w:b/>
          <w:bCs/>
          <w:color w:val="000000"/>
          <w:sz w:val="21"/>
          <w:szCs w:val="21"/>
        </w:rPr>
        <w:t xml:space="preserve">Mandatory Red-Flag Bypass: </w:t>
      </w:r>
      <w:r>
        <w:rPr>
          <w:rFonts w:ascii="Calibri" w:cs="Calibri" w:eastAsia="Calibri" w:hAnsi="Calibri"/>
          <w:color w:val="000000"/>
          <w:sz w:val="21"/>
          <w:szCs w:val="21"/>
        </w:rPr>
        <w:t xml:space="preserve">If a child presents with bilateral pitting edema, extreme apathy, cyanosis, or rapid weight loss exceeding 10 percent in one month, the AI counseling engine is bypassed. The UI immediately displays an emergency red banner instructing the worker to transfer the child to a hospital.</w:t>
      </w:r>
    </w:p>
    <w:p>
      <w:pPr>
        <w:pStyle w:val="ListParagraph"/>
        <w:numPr>
          <w:ilvl w:val="0"/>
          <w:numId w:val="1"/>
        </w:numPr>
        <w:spacing w:after="60" w:before="40"/>
      </w:pPr>
      <w:r>
        <w:rPr>
          <w:rFonts w:ascii="Calibri" w:cs="Calibri" w:eastAsia="Calibri" w:hAnsi="Calibri"/>
          <w:b/>
          <w:bCs/>
          <w:color w:val="000000"/>
          <w:sz w:val="21"/>
          <w:szCs w:val="21"/>
        </w:rPr>
        <w:t xml:space="preserve">Worker Sovereignty: </w:t>
      </w:r>
      <w:r>
        <w:rPr>
          <w:rFonts w:ascii="Calibri" w:cs="Calibri" w:eastAsia="Calibri" w:hAnsi="Calibri"/>
          <w:color w:val="000000"/>
          <w:sz w:val="21"/>
          <w:szCs w:val="21"/>
        </w:rPr>
        <w:t xml:space="preserve">The Anganwadi worker retains uncompromised authority. Every parsed voice field, growth classification, and recommended action requires active worker confirmation. If the worker determines an AI suggestion is inappropriate, the WorkerOverrideDialog enables full manual adjustment with recorded clinical justification.</w:t>
      </w:r>
    </w:p>
    <w:p>
      <w:pPr>
        <w:pStyle w:val="Heading1"/>
        <w:spacing w:after="120" w:before="300"/>
      </w:pPr>
      <w:r>
        <w:rPr>
          <w:rFonts w:ascii="Calibri" w:cs="Calibri" w:eastAsia="Calibri" w:hAnsi="Calibri"/>
          <w:b/>
          <w:bCs/>
          <w:color w:val="000000"/>
          <w:sz w:val="28"/>
          <w:szCs w:val="28"/>
        </w:rPr>
        <w:t xml:space="preserve">8. Verification and Quality Assurance</w:t>
      </w:r>
    </w:p>
    <w:p>
      <w:pPr>
        <w:spacing w:after="80" w:before="60"/>
      </w:pPr>
      <w:r>
        <w:rPr>
          <w:rFonts w:ascii="Calibri" w:cs="Calibri" w:eastAsia="Calibri" w:hAnsi="Calibri"/>
          <w:color w:val="000000"/>
          <w:sz w:val="21"/>
          <w:szCs w:val="21"/>
        </w:rPr>
        <w:t xml:space="preserve">The platform is verified by automated test suites:</w:t>
      </w:r>
    </w:p>
    <w:p>
      <w:pPr>
        <w:pStyle w:val="ListParagraph"/>
        <w:numPr>
          <w:ilvl w:val="0"/>
          <w:numId w:val="1"/>
        </w:numPr>
        <w:spacing w:after="60" w:before="40"/>
      </w:pPr>
      <w:r>
        <w:rPr>
          <w:rFonts w:ascii="Calibri" w:cs="Calibri" w:eastAsia="Calibri" w:hAnsi="Calibri"/>
          <w:b/>
          <w:bCs/>
          <w:color w:val="000000"/>
          <w:sz w:val="21"/>
          <w:szCs w:val="21"/>
        </w:rPr>
        <w:t xml:space="preserve">DomainEnginesTest: </w:t>
      </w:r>
      <w:r>
        <w:rPr>
          <w:rFonts w:ascii="Calibri" w:cs="Calibri" w:eastAsia="Calibri" w:hAnsi="Calibri"/>
          <w:color w:val="000000"/>
          <w:sz w:val="21"/>
          <w:szCs w:val="21"/>
        </w:rPr>
        <w:t xml:space="preserve">Validates WHO LMS formulas, Z-score boundary transitions, developmental milestone evaluators, and session initialization across known clinical test fixtures.</w:t>
      </w:r>
    </w:p>
    <w:p>
      <w:pPr>
        <w:pStyle w:val="ListParagraph"/>
        <w:numPr>
          <w:ilvl w:val="0"/>
          <w:numId w:val="1"/>
        </w:numPr>
        <w:spacing w:after="60" w:before="40"/>
      </w:pPr>
      <w:r>
        <w:rPr>
          <w:rFonts w:ascii="Calibri" w:cs="Calibri" w:eastAsia="Calibri" w:hAnsi="Calibri"/>
          <w:b/>
          <w:bCs/>
          <w:color w:val="000000"/>
          <w:sz w:val="21"/>
          <w:szCs w:val="21"/>
        </w:rPr>
        <w:t xml:space="preserve">ChildAdmissionVoiceParserTest: </w:t>
      </w:r>
      <w:r>
        <w:rPr>
          <w:rFonts w:ascii="Calibri" w:cs="Calibri" w:eastAsia="Calibri" w:hAnsi="Calibri"/>
          <w:color w:val="000000"/>
          <w:sz w:val="21"/>
          <w:szCs w:val="21"/>
        </w:rPr>
        <w:t xml:space="preserve">Validates multilingual speech extraction across complex sentence structures in Telugu, Hindi, and English, ensuring accurate slot parsing for names, ages, anthropometrics, and family context.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7"/>
        <w:szCs w:val="17"/>
      </w:rPr>
      <w:t xml:space="preserve">Page </w:t>
    </w:r>
    <w:r>
      <w:rPr>
        <w:rFonts w:ascii="Calibri" w:cs="Calibri" w:eastAsia="Calibri" w:hAnsi="Calibri"/>
        <w:color w:val="000000"/>
        <w:sz w:val="17"/>
        <w:szCs w:val="17"/>
      </w:rPr>
      <w:fldChar w:fldCharType="begin"/>
      <w:instrText xml:space="preserve">PAGE</w:instrText>
      <w:fldChar w:fldCharType="separate"/>
      <w:fldChar w:fldCharType="end"/>
    </w:r>
    <w:r>
      <w:rPr>
        <w:rFonts w:ascii="Calibri" w:cs="Calibri" w:eastAsia="Calibri" w:hAnsi="Calibri"/>
        <w:color w:val="000000"/>
        <w:sz w:val="17"/>
        <w:szCs w:val="17"/>
      </w:rPr>
      <w:t xml:space="preserve"> of </w:t>
    </w:r>
    <w:r>
      <w:rPr>
        <w:rFonts w:ascii="Calibri" w:cs="Calibri" w:eastAsia="Calibri" w:hAnsi="Calibri"/>
        <w:color w:val="00000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000000"/>
        <w:sz w:val="17"/>
        <w:szCs w:val="17"/>
      </w:rPr>
      <w:t xml:space="preserve">Balamitra Technical Architecture and Applied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2026-09-20T19:55:15.756Z</dcterms:created>
  <dcterms:modified xsi:type="dcterms:W3CDTF">2026-09-20T19:55:15.757Z</dcterms:modified>
</cp:coreProperties>
</file>

<file path=docProps/custom.xml><?xml version="1.0" encoding="utf-8"?>
<Properties xmlns="http://schemas.openxmlformats.org/officeDocument/2006/custom-properties" xmlns:vt="http://schemas.openxmlformats.org/officeDocument/2006/docPropsVTypes"/>
</file>