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pPr>
      <w:r>
        <w:t xml:space="preserve">BALAMITRA (బాలమిత్ర)</w:t>
      </w:r>
      <w:r>
        <w:rPr>
          <w:rFonts w:ascii="Calibri" w:cs="Calibri" w:eastAsia="Calibri" w:hAnsi="Calibri"/>
          <w:b/>
          <w:bCs/>
          <w:color w:val="1E3A8A"/>
          <w:sz w:val="48"/>
          <w:szCs w:val="48"/>
        </w:rPr>
        <w:t xml:space="preserve">BALAMITRA (బాలమిత్ర)</w:t>
      </w:r>
    </w:p>
    <w:p>
      <w:pPr>
        <w:spacing w:after="240" w:before="0"/>
        <w:jc w:val="center"/>
      </w:pPr>
      <w:r>
        <w:rPr>
          <w:rFonts w:ascii="Calibri" w:cs="Calibri" w:eastAsia="Calibri" w:hAnsi="Calibri"/>
          <w:b/>
          <w:bCs/>
          <w:color w:val="D97706"/>
          <w:sz w:val="24"/>
          <w:szCs w:val="24"/>
        </w:rPr>
        <w:t xml:space="preserve">Comprehensive System Architecture, Empathy Engineering, &amp; LLM Intelligence Specification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8FAFC" w:val="clear"/>
            <w:tcMar>
              <w:top w:type="dxa" w:w="140"/>
              <w:left w:type="dxa" w:w="200"/>
              <w:bottom w:type="dxa" w:w="140"/>
              <w:right w:type="dxa" w:w="140"/>
            </w:tcMar>
          </w:tcPr>
          <w:p>
            <w:pPr>
              <w:spacing w:after="40" w:before="40"/>
            </w:pPr>
            <w:r>
              <w:rPr>
                <w:rFonts w:ascii="Calibri" w:cs="Calibri" w:eastAsia="Calibri" w:hAnsi="Calibri"/>
                <w:b/>
                <w:bCs/>
                <w:color w:val="92400E"/>
                <w:sz w:val="22"/>
                <w:szCs w:val="22"/>
              </w:rPr>
              <w:t xml:space="preserve">Executive Mission Statement</w:t>
            </w:r>
          </w:p>
          <w:p>
            <w:pPr>
              <w:spacing w:after="40" w:before="40"/>
            </w:pPr>
            <w:r>
              <w:rPr>
                <w:rFonts w:ascii="Calibri" w:cs="Calibri" w:eastAsia="Calibri" w:hAnsi="Calibri"/>
                <w:color w:val="475569"/>
                <w:sz w:val="20"/>
                <w:szCs w:val="20"/>
              </w:rPr>
              <w:t xml:space="preserve">Balamitra is an offline-first, empathetic intelligence system designed to empower India's 1.4 million Anganwadi workers (AWWs). By transforming raw WHO anthropometric metrics into culturally resonant parental counseling and replacing manual paperwork with continuous multilingual voice understanding, Balamitra bridges grassroots healthcare delivery with modern edge AI.</w:t>
            </w:r>
          </w:p>
        </w:tc>
      </w:tr>
    </w:tbl>
    <w:p>
      <w:pPr>
        <w:spacing w:after="180"/>
      </w:pPr>
    </w:p>
    <w:p>
      <w:pPr>
        <w:pStyle w:val="Heading1"/>
        <w:spacing w:after="120" w:before="280"/>
      </w:pPr>
      <w:r>
        <w:t xml:space="preserve">1. Problem Landscape &amp; Public Health Context</w:t>
      </w:r>
    </w:p>
    <w:p>
      <w:pPr>
        <w:spacing w:after="120" w:before="80"/>
      </w:pPr>
      <w:r>
        <w:rPr>
          <w:rFonts w:ascii="Calibri" w:cs="Calibri" w:eastAsia="Calibri" w:hAnsi="Calibri"/>
          <w:sz w:val="22"/>
          <w:szCs w:val="22"/>
        </w:rPr>
        <w:t xml:space="preserve">Early childhood development (ECD) in the first 2,000 days of life establishes the biological foundation for all lifelong cognitive, emotional, and physical capability. In India, public health delivery at the community level is driven by the Integrated Child Development Services (ICDS) network, comprising over 1.4 million Anganwadi centers.</w:t>
      </w:r>
    </w:p>
    <w:p>
      <w:pPr>
        <w:spacing w:after="120" w:before="80"/>
      </w:pPr>
      <w:r>
        <w:rPr>
          <w:rFonts w:ascii="Calibri" w:cs="Calibri" w:eastAsia="Calibri" w:hAnsi="Calibri"/>
          <w:sz w:val="22"/>
          <w:szCs w:val="22"/>
        </w:rPr>
        <w:t xml:space="preserve">Despite substantial public investments, frontline caregivers face three foundational bottlenecks documented in national epidemiological data:</w:t>
      </w:r>
    </w:p>
    <w:p>
      <w:pPr>
        <w:pStyle w:val="ListParagraph"/>
        <w:numPr>
          <w:ilvl w:val="0"/>
          <w:numId w:val="1"/>
        </w:numPr>
        <w:spacing w:after="60" w:before="60"/>
      </w:pPr>
      <w:r>
        <w:rPr>
          <w:rFonts w:ascii="Calibri" w:cs="Calibri" w:eastAsia="Calibri" w:hAnsi="Calibri"/>
          <w:b/>
          <w:bCs/>
          <w:color w:val="1E293B"/>
          <w:sz w:val="22"/>
          <w:szCs w:val="22"/>
        </w:rPr>
        <w:t xml:space="preserve">High Malnutrition Prevalence (NFHS-5): </w:t>
      </w:r>
      <w:r>
        <w:rPr>
          <w:rFonts w:ascii="Calibri" w:cs="Calibri" w:eastAsia="Calibri" w:hAnsi="Calibri"/>
          <w:color w:val="334155"/>
          <w:sz w:val="22"/>
          <w:szCs w:val="22"/>
        </w:rPr>
        <w:t xml:space="preserve">According to the National Family Health Survey (NFHS-5), 35.5% of children under age five are stunted (chronically malnourished), 19.3% are wasted (acutely malnourished), and 32.1% are underweight.</w:t>
      </w:r>
    </w:p>
    <w:p>
      <w:pPr>
        <w:pStyle w:val="ListParagraph"/>
        <w:numPr>
          <w:ilvl w:val="0"/>
          <w:numId w:val="1"/>
        </w:numPr>
        <w:spacing w:after="60" w:before="60"/>
      </w:pPr>
      <w:r>
        <w:rPr>
          <w:rFonts w:ascii="Calibri" w:cs="Calibri" w:eastAsia="Calibri" w:hAnsi="Calibri"/>
          <w:b/>
          <w:bCs/>
          <w:color w:val="1E293B"/>
          <w:sz w:val="22"/>
          <w:szCs w:val="22"/>
        </w:rPr>
        <w:t xml:space="preserve">Administrative Burden &amp; Documentation Overload: </w:t>
      </w:r>
      <w:r>
        <w:rPr>
          <w:rFonts w:ascii="Calibri" w:cs="Calibri" w:eastAsia="Calibri" w:hAnsi="Calibri"/>
          <w:color w:val="334155"/>
          <w:sz w:val="22"/>
          <w:szCs w:val="22"/>
        </w:rPr>
        <w:t xml:space="preserve">A single Anganwadi worker manages 30 to 50 children. Workers routinely spend 30% to 40% of their daily shift (2 to 3 hours) manually reconciling up to 11 physical paper ledgers, reducing hands-on interaction with vulnerable children.</w:t>
      </w:r>
    </w:p>
    <w:p>
      <w:pPr>
        <w:pStyle w:val="ListParagraph"/>
        <w:numPr>
          <w:ilvl w:val="0"/>
          <w:numId w:val="1"/>
        </w:numPr>
        <w:spacing w:after="60" w:before="60"/>
      </w:pPr>
      <w:r>
        <w:rPr>
          <w:rFonts w:ascii="Calibri" w:cs="Calibri" w:eastAsia="Calibri" w:hAnsi="Calibri"/>
          <w:b/>
          <w:bCs/>
          <w:color w:val="1E293B"/>
          <w:sz w:val="22"/>
          <w:szCs w:val="22"/>
        </w:rPr>
        <w:t xml:space="preserve">The Clinical Communication Gap: </w:t>
      </w:r>
      <w:r>
        <w:rPr>
          <w:rFonts w:ascii="Calibri" w:cs="Calibri" w:eastAsia="Calibri" w:hAnsi="Calibri"/>
          <w:color w:val="334155"/>
          <w:sz w:val="22"/>
          <w:szCs w:val="22"/>
        </w:rPr>
        <w:t xml:space="preserve">Translating statistical standard deviations (e.g., 'Z-score &lt; -2 SD') to rural, anxious mothers frequently triggers guilt, shame, and defensive disengagement. Clinical software historically lacked the linguistic and emotional intelligence needed to foster collaborative parental action.</w:t>
      </w:r>
    </w:p>
    <w:p>
      <w:pPr>
        <w:pStyle w:val="ListParagraph"/>
        <w:numPr>
          <w:ilvl w:val="0"/>
          <w:numId w:val="1"/>
        </w:numPr>
        <w:spacing w:after="60" w:before="60"/>
      </w:pPr>
      <w:r>
        <w:rPr>
          <w:rFonts w:ascii="Calibri" w:cs="Calibri" w:eastAsia="Calibri" w:hAnsi="Calibri"/>
          <w:b/>
          <w:bCs/>
          <w:color w:val="1E293B"/>
          <w:sz w:val="22"/>
          <w:szCs w:val="22"/>
        </w:rPr>
        <w:t xml:space="preserve">Connectivity Deficits: </w:t>
      </w:r>
      <w:r>
        <w:rPr>
          <w:rFonts w:ascii="Calibri" w:cs="Calibri" w:eastAsia="Calibri" w:hAnsi="Calibri"/>
          <w:color w:val="334155"/>
          <w:sz w:val="22"/>
          <w:szCs w:val="22"/>
        </w:rPr>
        <w:t xml:space="preserve">Over 60% of rural Anganwadi centers operate in areas with intermittent or non-existent 3G/4G connectivity, causing conventional cloud-dependent applications to fail completely.</w:t>
      </w:r>
    </w:p>
    <w:p>
      <w:pPr>
        <w:pStyle w:val="Heading1"/>
        <w:spacing w:after="120" w:before="280"/>
      </w:pPr>
      <w:r>
        <w:t xml:space="preserve">2. Core LLM &amp; Artificial Intelligence Architecture</w:t>
      </w:r>
    </w:p>
    <w:p>
      <w:pPr>
        <w:spacing w:after="120" w:before="80"/>
      </w:pPr>
      <w:r>
        <w:rPr>
          <w:rFonts w:ascii="Calibri" w:cs="Calibri" w:eastAsia="Calibri" w:hAnsi="Calibri"/>
          <w:sz w:val="22"/>
          <w:szCs w:val="22"/>
        </w:rPr>
        <w:t xml:space="preserve">Balamitra approaches Artificial Intelligence not as a cold scoring mechanism, but as an empathetic digital co-pilot sitting in the worker's pocket. The AI stack is comprised of four interconnected intelligence engines:</w:t>
      </w:r>
    </w:p>
    <w:p>
      <w:pPr>
        <w:pStyle w:val="Heading2"/>
        <w:spacing w:after="120" w:before="280"/>
      </w:pPr>
      <w:r>
        <w:t xml:space="preserve">2.1. Empathetic Parent Explanation Generator (LLMEngine)</w:t>
      </w:r>
    </w:p>
    <w:p>
      <w:pPr>
        <w:spacing w:after="120" w:before="80"/>
      </w:pPr>
      <w:r>
        <w:rPr>
          <w:rFonts w:ascii="Calibri" w:cs="Calibri" w:eastAsia="Calibri" w:hAnsi="Calibri"/>
          <w:sz w:val="22"/>
          <w:szCs w:val="22"/>
        </w:rPr>
        <w:t xml:space="preserve">The Parent Explanation Engine (ParentExplanationGenerator.kt) is explicitly designed to de-stigmatize childhood malnutrition. When an assessment reveals that a child is moderately or severely malnourished, standard medical systems generate alarmist flags. In contrast, Balamitra's LLM engine constructs compassionate, culturally respectful counseling dialogues in the mother's native language (Telugu, Hindi, or English).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8FAFC" w:val="clear"/>
            <w:tcMar>
              <w:top w:type="dxa" w:w="140"/>
              <w:left w:type="dxa" w:w="200"/>
              <w:bottom w:type="dxa" w:w="140"/>
              <w:right w:type="dxa" w:w="140"/>
            </w:tcMar>
          </w:tcPr>
          <w:p>
            <w:pPr>
              <w:spacing w:after="40" w:before="40"/>
            </w:pPr>
            <w:r>
              <w:rPr>
                <w:rFonts w:ascii="Calibri" w:cs="Calibri" w:eastAsia="Calibri" w:hAnsi="Calibri"/>
                <w:b/>
                <w:bCs/>
                <w:color w:val="92400E"/>
                <w:sz w:val="22"/>
                <w:szCs w:val="22"/>
              </w:rPr>
              <w:t xml:space="preserve">Linguistic &amp; Empathy Principles Enforced by LLM</w:t>
            </w:r>
          </w:p>
          <w:p>
            <w:pPr>
              <w:spacing w:after="40" w:before="40"/>
            </w:pPr>
            <w:r>
              <w:rPr>
                <w:rFonts w:ascii="Calibri" w:cs="Calibri" w:eastAsia="Calibri" w:hAnsi="Calibri"/>
                <w:color w:val="475569"/>
                <w:sz w:val="20"/>
                <w:szCs w:val="20"/>
              </w:rPr>
              <w:t xml:space="preserve">1. Affirmation First: Always acknowledge what the mother is doing well before addressing developmental gaps.
2. Local Kitchen Grounding: Never prescribe commercial supplements. Recommend accessible foods (groundnut powder, drumstick leaves, roasted gram, jaggery, eggs).
3. Actionable Coaching: Frame weight recovery as collaborative nourishment rather than parental failure.</w:t>
            </w:r>
          </w:p>
        </w:tc>
      </w:tr>
    </w:tbl>
    <w:p>
      <w:pPr>
        <w:spacing w:after="120"/>
      </w:pPr>
    </w:p>
    <w:p>
      <w:pPr>
        <w:spacing w:after="120" w:before="80"/>
      </w:pPr>
      <w:r>
        <w:rPr>
          <w:rFonts w:ascii="Calibri" w:cs="Calibri" w:eastAsia="Calibri" w:hAnsi="Calibri"/>
          <w:sz w:val="22"/>
          <w:szCs w:val="22"/>
        </w:rPr>
        <w:t xml:space="preserve">The engine dynamically formats structured inputs (Child Name, Age, Gender, Growth Status, Height-for-Age, Weight-for-Age, Milestone Delays) into regional prompt templates with few-shot behavioral guidelines:</w:t>
      </w:r>
    </w:p>
    <w:p>
      <w:pPr>
        <w:pStyle w:val="ListParagraph"/>
        <w:numPr>
          <w:ilvl w:val="0"/>
          <w:numId w:val="1"/>
        </w:numPr>
        <w:spacing w:after="60" w:before="60"/>
      </w:pPr>
      <w:r>
        <w:rPr>
          <w:rFonts w:ascii="Calibri" w:cs="Calibri" w:eastAsia="Calibri" w:hAnsi="Calibri"/>
          <w:b/>
          <w:bCs/>
          <w:color w:val="1E293B"/>
          <w:sz w:val="22"/>
          <w:szCs w:val="22"/>
        </w:rPr>
        <w:t xml:space="preserve">Telugu Output: </w:t>
      </w:r>
      <w:r>
        <w:rPr>
          <w:rFonts w:ascii="Calibri" w:cs="Calibri" w:eastAsia="Calibri" w:hAnsi="Calibri"/>
          <w:color w:val="334155"/>
          <w:sz w:val="22"/>
          <w:szCs w:val="22"/>
        </w:rPr>
        <w:t xml:space="preserve">Produces natural spoken Telugu phrasing (e.g., 'బాబు చాలా చురుగ్గా ఉన్నాడు, కానీ కొంచెం బరువు పెరగాలి. రోజూ అన్నంలో ఒక చెంచా వేరుశెనగ పొడి లేదా నెయ్యి కలపండి...') avoiding literal textbook translation.</w:t>
      </w:r>
    </w:p>
    <w:p>
      <w:pPr>
        <w:pStyle w:val="ListParagraph"/>
        <w:numPr>
          <w:ilvl w:val="0"/>
          <w:numId w:val="1"/>
        </w:numPr>
        <w:spacing w:after="60" w:before="60"/>
      </w:pPr>
      <w:r>
        <w:rPr>
          <w:rFonts w:ascii="Calibri" w:cs="Calibri" w:eastAsia="Calibri" w:hAnsi="Calibri"/>
          <w:b/>
          <w:bCs/>
          <w:color w:val="1E293B"/>
          <w:sz w:val="22"/>
          <w:szCs w:val="22"/>
        </w:rPr>
        <w:t xml:space="preserve">Hindi Output: </w:t>
      </w:r>
      <w:r>
        <w:rPr>
          <w:rFonts w:ascii="Calibri" w:cs="Calibri" w:eastAsia="Calibri" w:hAnsi="Calibri"/>
          <w:color w:val="334155"/>
          <w:sz w:val="22"/>
          <w:szCs w:val="22"/>
        </w:rPr>
        <w:t xml:space="preserve">Produces conversational, respectful Hindi suitable for grassroots community visits.</w:t>
      </w:r>
    </w:p>
    <w:p>
      <w:pPr>
        <w:pStyle w:val="ListParagraph"/>
        <w:numPr>
          <w:ilvl w:val="0"/>
          <w:numId w:val="1"/>
        </w:numPr>
        <w:spacing w:after="60" w:before="60"/>
      </w:pPr>
      <w:r>
        <w:rPr>
          <w:rFonts w:ascii="Calibri" w:cs="Calibri" w:eastAsia="Calibri" w:hAnsi="Calibri"/>
          <w:b/>
          <w:bCs/>
          <w:color w:val="1E293B"/>
          <w:sz w:val="22"/>
          <w:szCs w:val="22"/>
        </w:rPr>
        <w:t xml:space="preserve">Dual Dialogue Mode: </w:t>
      </w:r>
      <w:r>
        <w:rPr>
          <w:rFonts w:ascii="Calibri" w:cs="Calibri" w:eastAsia="Calibri" w:hAnsi="Calibri"/>
          <w:color w:val="334155"/>
          <w:sz w:val="22"/>
          <w:szCs w:val="22"/>
        </w:rPr>
        <w:t xml:space="preserve">Generates both a direct explanation script for the mother and coaching advice for the Anganwadi worker herself on how to handle difficult parental reactions.</w:t>
      </w:r>
    </w:p>
    <w:p>
      <w:pPr>
        <w:pStyle w:val="Heading2"/>
        <w:spacing w:after="120" w:before="280"/>
      </w:pPr>
      <w:r>
        <w:t xml:space="preserve">2.2. Longitudinal 'Connect the Dots' Synthesis Engine</w:t>
      </w:r>
    </w:p>
    <w:p>
      <w:pPr>
        <w:spacing w:after="120" w:before="80"/>
      </w:pPr>
      <w:r>
        <w:rPr>
          <w:rFonts w:ascii="Calibri" w:cs="Calibri" w:eastAsia="Calibri" w:hAnsi="Calibri"/>
          <w:sz w:val="22"/>
          <w:szCs w:val="22"/>
        </w:rPr>
        <w:t xml:space="preserve">Child growth is non-linear and multidimensional. A 300g drop in weight is not an isolated event—it is often preceded by a diarrheal episode, absence from mid-day meals during harvest season, or hesitation on gross motor milestones.</w:t>
      </w:r>
    </w:p>
    <w:p>
      <w:pPr>
        <w:spacing w:after="120" w:before="80"/>
      </w:pPr>
      <w:r>
        <w:rPr>
          <w:rFonts w:ascii="Calibri" w:cs="Calibri" w:eastAsia="Calibri" w:hAnsi="Calibri"/>
          <w:sz w:val="22"/>
          <w:szCs w:val="22"/>
        </w:rPr>
        <w:t xml:space="preserve">The ConnectTheDotsEngine (ConnectTheDotsEngine.kt) performs longitudinal temporal synthesis across 30, 60, and 90 days:</w:t>
      </w:r>
    </w:p>
    <w:p>
      <w:pPr>
        <w:pStyle w:val="ListParagraph"/>
        <w:numPr>
          <w:ilvl w:val="0"/>
          <w:numId w:val="1"/>
        </w:numPr>
        <w:spacing w:after="60" w:before="60"/>
      </w:pPr>
      <w:r>
        <w:rPr>
          <w:rFonts w:ascii="Calibri" w:cs="Calibri" w:eastAsia="Calibri" w:hAnsi="Calibri"/>
          <w:b/>
          <w:bCs/>
          <w:color w:val="1E293B"/>
          <w:sz w:val="22"/>
          <w:szCs w:val="22"/>
        </w:rPr>
        <w:t xml:space="preserve">Velocity Analysis: </w:t>
      </w:r>
      <w:r>
        <w:rPr>
          <w:rFonts w:ascii="Calibri" w:cs="Calibri" w:eastAsia="Calibri" w:hAnsi="Calibri"/>
          <w:color w:val="334155"/>
          <w:sz w:val="22"/>
          <w:szCs w:val="22"/>
        </w:rPr>
        <w:t xml:space="preserve">Tracks monthly delta velocity (g/month and cm/month) rather than static snapshots.</w:t>
      </w:r>
    </w:p>
    <w:p>
      <w:pPr>
        <w:pStyle w:val="ListParagraph"/>
        <w:numPr>
          <w:ilvl w:val="0"/>
          <w:numId w:val="1"/>
        </w:numPr>
        <w:spacing w:after="60" w:before="60"/>
      </w:pPr>
      <w:r>
        <w:rPr>
          <w:rFonts w:ascii="Calibri" w:cs="Calibri" w:eastAsia="Calibri" w:hAnsi="Calibri"/>
          <w:b/>
          <w:bCs/>
          <w:color w:val="1E293B"/>
          <w:sz w:val="22"/>
          <w:szCs w:val="22"/>
        </w:rPr>
        <w:t xml:space="preserve">Multi-Stream Correlation: </w:t>
      </w:r>
      <w:r>
        <w:rPr>
          <w:rFonts w:ascii="Calibri" w:cs="Calibri" w:eastAsia="Calibri" w:hAnsi="Calibri"/>
          <w:color w:val="334155"/>
          <w:sz w:val="22"/>
          <w:szCs w:val="22"/>
        </w:rPr>
        <w:t xml:space="preserve">Fuses three disparate event streams: (a) Daily meal attendance records, (b) Bi-monthly anthropometric assessments, and (c) Quarterly ECD developmental milestone evaluations.</w:t>
      </w:r>
    </w:p>
    <w:p>
      <w:pPr>
        <w:pStyle w:val="ListParagraph"/>
        <w:numPr>
          <w:ilvl w:val="0"/>
          <w:numId w:val="1"/>
        </w:numPr>
        <w:spacing w:after="60" w:before="60"/>
      </w:pPr>
      <w:r>
        <w:rPr>
          <w:rFonts w:ascii="Calibri" w:cs="Calibri" w:eastAsia="Calibri" w:hAnsi="Calibri"/>
          <w:b/>
          <w:bCs/>
          <w:color w:val="1E293B"/>
          <w:sz w:val="22"/>
          <w:szCs w:val="22"/>
        </w:rPr>
        <w:t xml:space="preserve">Root Cause Narrative Generation: </w:t>
      </w:r>
      <w:r>
        <w:rPr>
          <w:rFonts w:ascii="Calibri" w:cs="Calibri" w:eastAsia="Calibri" w:hAnsi="Calibri"/>
          <w:color w:val="334155"/>
          <w:sz w:val="22"/>
          <w:szCs w:val="22"/>
        </w:rPr>
        <w:t xml:space="preserve">Generates clear human-readable narrative summaries such as: 'Child gained height normally (+1.2 cm), but weight velocity stalled following a reported diarrheal illness 14 days ago. Fine-motor milestone shows emerging hesitation. Recommendation: Intensify home hydration and add calorie-dense porridge.'</w:t>
      </w:r>
    </w:p>
    <w:p>
      <w:pPr>
        <w:pStyle w:val="Heading2"/>
        <w:spacing w:after="120" w:before="280"/>
      </w:pPr>
      <w:r>
        <w:t xml:space="preserve">2.3. Hands-Free Multilingual Voice Parsing Engine</w:t>
      </w:r>
    </w:p>
    <w:p>
      <w:pPr>
        <w:spacing w:after="120" w:before="80"/>
      </w:pPr>
      <w:r>
        <w:rPr>
          <w:rFonts w:ascii="Calibri" w:cs="Calibri" w:eastAsia="Calibri" w:hAnsi="Calibri"/>
          <w:sz w:val="22"/>
          <w:szCs w:val="22"/>
        </w:rPr>
        <w:t xml:space="preserve">An Anganwadi worker cannot type on a glass screen while balancing a crying baby on a hanging spring scale. Balamitra implements an on-device, hands-free conversational voice ingestion pipeline (ChildEnrollmentVoiceParser.kt):</w:t>
      </w:r>
    </w:p>
    <w:p>
      <w:pPr>
        <w:pStyle w:val="ListParagraph"/>
        <w:numPr>
          <w:ilvl w:val="0"/>
          <w:numId w:val="1"/>
        </w:numPr>
        <w:spacing w:after="60" w:before="60"/>
      </w:pPr>
      <w:r>
        <w:rPr>
          <w:rFonts w:ascii="Calibri" w:cs="Calibri" w:eastAsia="Calibri" w:hAnsi="Calibri"/>
          <w:b/>
          <w:bCs/>
          <w:color w:val="1E293B"/>
          <w:sz w:val="22"/>
          <w:szCs w:val="22"/>
        </w:rPr>
        <w:t xml:space="preserve">Supported Languages: </w:t>
      </w:r>
      <w:r>
        <w:rPr>
          <w:rFonts w:ascii="Calibri" w:cs="Calibri" w:eastAsia="Calibri" w:hAnsi="Calibri"/>
          <w:color w:val="334155"/>
          <w:sz w:val="22"/>
          <w:szCs w:val="22"/>
        </w:rPr>
        <w:t xml:space="preserve">Understands natural continuous speech in Telugu, Hindi, and Indian English.</w:t>
      </w:r>
    </w:p>
    <w:p>
      <w:pPr>
        <w:pStyle w:val="ListParagraph"/>
        <w:numPr>
          <w:ilvl w:val="0"/>
          <w:numId w:val="1"/>
        </w:numPr>
        <w:spacing w:after="60" w:before="60"/>
      </w:pPr>
      <w:r>
        <w:rPr>
          <w:rFonts w:ascii="Calibri" w:cs="Calibri" w:eastAsia="Calibri" w:hAnsi="Calibri"/>
          <w:b/>
          <w:bCs/>
          <w:color w:val="1E293B"/>
          <w:sz w:val="22"/>
          <w:szCs w:val="22"/>
        </w:rPr>
        <w:t xml:space="preserve">Entity Slot Filling: </w:t>
      </w:r>
      <w:r>
        <w:rPr>
          <w:rFonts w:ascii="Calibri" w:cs="Calibri" w:eastAsia="Calibri" w:hAnsi="Calibri"/>
          <w:color w:val="334155"/>
          <w:sz w:val="22"/>
          <w:szCs w:val="22"/>
        </w:rPr>
        <w:t xml:space="preserve">Automatically identifies and extracts: Child Name, Age (years/months), Gender, Weight (kg), Height (cm), Father's Name, Mother's Name, and Ward/Village.</w:t>
      </w:r>
    </w:p>
    <w:p>
      <w:pPr>
        <w:pStyle w:val="ListParagraph"/>
        <w:numPr>
          <w:ilvl w:val="0"/>
          <w:numId w:val="1"/>
        </w:numPr>
        <w:spacing w:after="60" w:before="60"/>
      </w:pPr>
      <w:r>
        <w:rPr>
          <w:rFonts w:ascii="Calibri" w:cs="Calibri" w:eastAsia="Calibri" w:hAnsi="Calibri"/>
          <w:b/>
          <w:bCs/>
          <w:color w:val="1E293B"/>
          <w:sz w:val="22"/>
          <w:szCs w:val="22"/>
        </w:rPr>
        <w:t xml:space="preserve">Written Number &amp; Colloquial Word Mapping: </w:t>
      </w:r>
      <w:r>
        <w:rPr>
          <w:rFonts w:ascii="Calibri" w:cs="Calibri" w:eastAsia="Calibri" w:hAnsi="Calibri"/>
          <w:color w:val="334155"/>
          <w:sz w:val="22"/>
          <w:szCs w:val="22"/>
        </w:rPr>
        <w:t xml:space="preserve">Recognizes spoken numbers in native dialects (e.g., Telugu 'నాలుగు సంవత్సరాలు', Hindi 'तीन साल', or numerical digits).</w:t>
      </w:r>
    </w:p>
    <w:p>
      <w:pPr>
        <w:pStyle w:val="ListParagraph"/>
        <w:numPr>
          <w:ilvl w:val="0"/>
          <w:numId w:val="1"/>
        </w:numPr>
        <w:spacing w:after="60" w:before="60"/>
      </w:pPr>
      <w:r>
        <w:rPr>
          <w:rFonts w:ascii="Calibri" w:cs="Calibri" w:eastAsia="Calibri" w:hAnsi="Calibri"/>
          <w:b/>
          <w:bCs/>
          <w:color w:val="1E293B"/>
          <w:sz w:val="22"/>
          <w:szCs w:val="22"/>
        </w:rPr>
        <w:t xml:space="preserve">Time Reduction: </w:t>
      </w:r>
      <w:r>
        <w:rPr>
          <w:rFonts w:ascii="Calibri" w:cs="Calibri" w:eastAsia="Calibri" w:hAnsi="Calibri"/>
          <w:color w:val="334155"/>
          <w:sz w:val="22"/>
          <w:szCs w:val="22"/>
        </w:rPr>
        <w:t xml:space="preserve">Reduces average child admission intake time from 5–7 minutes of paper ledger entry to a single 15-second natural spoken utterance.</w:t>
      </w:r>
    </w:p>
    <w:p>
      <w:pPr>
        <w:pStyle w:val="Heading2"/>
        <w:spacing w:after="120" w:before="280"/>
      </w:pPr>
      <w:r>
        <w:t xml:space="preserve">2.4. Safety Guardrails &amp; Human-in-the-Loop Agency</w:t>
      </w:r>
    </w:p>
    <w:p>
      <w:pPr>
        <w:spacing w:after="120" w:before="80"/>
      </w:pPr>
      <w:r>
        <w:rPr>
          <w:rFonts w:ascii="Calibri" w:cs="Calibri" w:eastAsia="Calibri" w:hAnsi="Calibri"/>
          <w:sz w:val="22"/>
          <w:szCs w:val="22"/>
        </w:rPr>
        <w:t xml:space="preserve">To ensure ethical AI deployment in vulnerable communities, Balamitra implements strict architectural safety guardrails (SafetyGuardrail.kt &amp; WorkerOverrideDialog.kt):</w:t>
      </w:r>
    </w:p>
    <w:p>
      <w:pPr>
        <w:pStyle w:val="ListParagraph"/>
        <w:numPr>
          <w:ilvl w:val="0"/>
          <w:numId w:val="1"/>
        </w:numPr>
        <w:spacing w:after="60" w:before="60"/>
      </w:pPr>
      <w:r>
        <w:rPr>
          <w:rFonts w:ascii="Calibri" w:cs="Calibri" w:eastAsia="Calibri" w:hAnsi="Calibri"/>
          <w:b/>
          <w:bCs/>
          <w:color w:val="1E293B"/>
          <w:sz w:val="22"/>
          <w:szCs w:val="22"/>
        </w:rPr>
        <w:t xml:space="preserve">Automated Red-Flag Screening: </w:t>
      </w:r>
      <w:r>
        <w:rPr>
          <w:rFonts w:ascii="Calibri" w:cs="Calibri" w:eastAsia="Calibri" w:hAnsi="Calibri"/>
          <w:color w:val="334155"/>
          <w:sz w:val="22"/>
          <w:szCs w:val="22"/>
        </w:rPr>
        <w:t xml:space="preserve">Instantly flags life-threatening clinical symptoms (bilateral pitting edema, extreme lethargy, sudden weight drop &gt;10%) that require immediate referral to a Primary Health Centre (PHC) medical officer.</w:t>
      </w:r>
    </w:p>
    <w:p>
      <w:pPr>
        <w:pStyle w:val="ListParagraph"/>
        <w:numPr>
          <w:ilvl w:val="0"/>
          <w:numId w:val="1"/>
        </w:numPr>
        <w:spacing w:after="60" w:before="60"/>
      </w:pPr>
      <w:r>
        <w:rPr>
          <w:rFonts w:ascii="Calibri" w:cs="Calibri" w:eastAsia="Calibri" w:hAnsi="Calibri"/>
          <w:b/>
          <w:bCs/>
          <w:color w:val="1E293B"/>
          <w:sz w:val="22"/>
          <w:szCs w:val="22"/>
        </w:rPr>
        <w:t xml:space="preserve">Human-in-the-Loop Authority: </w:t>
      </w:r>
      <w:r>
        <w:rPr>
          <w:rFonts w:ascii="Calibri" w:cs="Calibri" w:eastAsia="Calibri" w:hAnsi="Calibri"/>
          <w:color w:val="334155"/>
          <w:sz w:val="22"/>
          <w:szCs w:val="22"/>
        </w:rPr>
        <w:t xml:space="preserve">The AI never acts autonomously. Every parsed field, growth band classification, and counseling recommendation must be reviewed and explicitly validated by the Anganwadi worker, who can override any automated decision with documented rationale.</w:t>
      </w:r>
    </w:p>
    <w:p>
      <w:pPr>
        <w:pStyle w:val="Heading1"/>
        <w:spacing w:after="120" w:before="280"/>
      </w:pPr>
      <w:r>
        <w:t xml:space="preserve">3. WHO Growth Calculation &amp; Clinical Domain Engine</w:t>
      </w:r>
    </w:p>
    <w:p>
      <w:pPr>
        <w:spacing w:after="120" w:before="80"/>
      </w:pPr>
      <w:r>
        <w:rPr>
          <w:rFonts w:ascii="Calibri" w:cs="Calibri" w:eastAsia="Calibri" w:hAnsi="Calibri"/>
          <w:sz w:val="22"/>
          <w:szCs w:val="22"/>
        </w:rPr>
        <w:t xml:space="preserve">Balamitra embeds the World Health Organization (WHO) Child Growth Standards (0 to 60 months) natively in Kotlin (GrowthEngine.kt):</w:t>
      </w:r>
    </w:p>
    <w:p>
      <w:pPr>
        <w:pStyle w:val="ListParagraph"/>
        <w:numPr>
          <w:ilvl w:val="0"/>
          <w:numId w:val="1"/>
        </w:numPr>
        <w:spacing w:after="60" w:before="60"/>
      </w:pPr>
      <w:r>
        <w:rPr>
          <w:rFonts w:ascii="Calibri" w:cs="Calibri" w:eastAsia="Calibri" w:hAnsi="Calibri"/>
          <w:b/>
          <w:bCs/>
          <w:color w:val="1E293B"/>
          <w:sz w:val="22"/>
          <w:szCs w:val="22"/>
        </w:rPr>
        <w:t xml:space="preserve">Stunting (Height-for-Age / HAZ): </w:t>
      </w:r>
      <w:r>
        <w:rPr>
          <w:rFonts w:ascii="Calibri" w:cs="Calibri" w:eastAsia="Calibri" w:hAnsi="Calibri"/>
          <w:color w:val="334155"/>
          <w:sz w:val="22"/>
          <w:szCs w:val="22"/>
        </w:rPr>
        <w:t xml:space="preserve">Identifies chronic undernutrition and long-term linear growth faltering.</w:t>
      </w:r>
    </w:p>
    <w:p>
      <w:pPr>
        <w:pStyle w:val="ListParagraph"/>
        <w:numPr>
          <w:ilvl w:val="0"/>
          <w:numId w:val="1"/>
        </w:numPr>
        <w:spacing w:after="60" w:before="60"/>
      </w:pPr>
      <w:r>
        <w:rPr>
          <w:rFonts w:ascii="Calibri" w:cs="Calibri" w:eastAsia="Calibri" w:hAnsi="Calibri"/>
          <w:b/>
          <w:bCs/>
          <w:color w:val="1E293B"/>
          <w:sz w:val="22"/>
          <w:szCs w:val="22"/>
        </w:rPr>
        <w:t xml:space="preserve">Underweight (Weight-for-Age / WAZ): </w:t>
      </w:r>
      <w:r>
        <w:rPr>
          <w:rFonts w:ascii="Calibri" w:cs="Calibri" w:eastAsia="Calibri" w:hAnsi="Calibri"/>
          <w:color w:val="334155"/>
          <w:sz w:val="22"/>
          <w:szCs w:val="22"/>
        </w:rPr>
        <w:t xml:space="preserve">Reflects composite acute and chronic nutritional deficiencies.</w:t>
      </w:r>
    </w:p>
    <w:p>
      <w:pPr>
        <w:pStyle w:val="ListParagraph"/>
        <w:numPr>
          <w:ilvl w:val="0"/>
          <w:numId w:val="1"/>
        </w:numPr>
        <w:spacing w:after="60" w:before="60"/>
      </w:pPr>
      <w:r>
        <w:rPr>
          <w:rFonts w:ascii="Calibri" w:cs="Calibri" w:eastAsia="Calibri" w:hAnsi="Calibri"/>
          <w:b/>
          <w:bCs/>
          <w:color w:val="1E293B"/>
          <w:sz w:val="22"/>
          <w:szCs w:val="22"/>
        </w:rPr>
        <w:t xml:space="preserve">Wasting (Weight-for-Height / WHZ): </w:t>
      </w:r>
      <w:r>
        <w:rPr>
          <w:rFonts w:ascii="Calibri" w:cs="Calibri" w:eastAsia="Calibri" w:hAnsi="Calibri"/>
          <w:color w:val="334155"/>
          <w:sz w:val="22"/>
          <w:szCs w:val="22"/>
        </w:rPr>
        <w:t xml:space="preserve">Diagnoses Acute Malnutrition and Severe Acute Malnutrition (SAM) requiring urgent therapeutic feeding.</w:t>
      </w:r>
    </w:p>
    <w:p>
      <w:pPr>
        <w:pStyle w:val="ListParagraph"/>
        <w:numPr>
          <w:ilvl w:val="0"/>
          <w:numId w:val="1"/>
        </w:numPr>
        <w:spacing w:after="60" w:before="60"/>
      </w:pPr>
      <w:r>
        <w:rPr>
          <w:rFonts w:ascii="Calibri" w:cs="Calibri" w:eastAsia="Calibri" w:hAnsi="Calibri"/>
          <w:b/>
          <w:bCs/>
          <w:color w:val="1E293B"/>
          <w:sz w:val="22"/>
          <w:szCs w:val="22"/>
        </w:rPr>
        <w:t xml:space="preserve">Mathematical Precision: </w:t>
      </w:r>
      <w:r>
        <w:rPr>
          <w:rFonts w:ascii="Calibri" w:cs="Calibri" w:eastAsia="Calibri" w:hAnsi="Calibri"/>
          <w:color w:val="334155"/>
          <w:sz w:val="22"/>
          <w:szCs w:val="22"/>
        </w:rPr>
        <w:t xml:space="preserve">Computes exact Z-scores using the Box-Cox Power Exponential (LMS) formulation: Z = ((measurement / M)^L - 1) / (L * S), converting statistical values into color-coded intuitive risk tiers (Green = Normal, Amber = Moderately Vulnerable, Red = Severe SAM).</w:t>
      </w:r>
    </w:p>
    <w:p>
      <w:pPr>
        <w:pStyle w:val="Heading1"/>
        <w:spacing w:after="120" w:before="280"/>
      </w:pPr>
      <w:r>
        <w:t xml:space="preserve">4. Offline-First Edge Persistence &amp; Low-Bandwidth Respect</w:t>
      </w:r>
    </w:p>
    <w:p>
      <w:pPr>
        <w:spacing w:after="120" w:before="80"/>
      </w:pPr>
      <w:r>
        <w:rPr>
          <w:rFonts w:ascii="Calibri" w:cs="Calibri" w:eastAsia="Calibri" w:hAnsi="Calibri"/>
          <w:sz w:val="22"/>
          <w:szCs w:val="22"/>
        </w:rPr>
        <w:t xml:space="preserve">Balamitra was engineered with zero-trust network assumptions:</w:t>
      </w:r>
    </w:p>
    <w:p>
      <w:pPr>
        <w:pStyle w:val="ListParagraph"/>
        <w:numPr>
          <w:ilvl w:val="0"/>
          <w:numId w:val="1"/>
        </w:numPr>
        <w:spacing w:after="60" w:before="60"/>
      </w:pPr>
      <w:r>
        <w:rPr>
          <w:rFonts w:ascii="Calibri" w:cs="Calibri" w:eastAsia="Calibri" w:hAnsi="Calibri"/>
          <w:b/>
          <w:bCs/>
          <w:color w:val="1E293B"/>
          <w:sz w:val="22"/>
          <w:szCs w:val="22"/>
        </w:rPr>
        <w:t xml:space="preserve">Local Room SQLite Database: </w:t>
      </w:r>
      <w:r>
        <w:rPr>
          <w:rFonts w:ascii="Calibri" w:cs="Calibri" w:eastAsia="Calibri" w:hAnsi="Calibri"/>
          <w:color w:val="334155"/>
          <w:sz w:val="22"/>
          <w:szCs w:val="22"/>
        </w:rPr>
        <w:t xml:space="preserve">All child profiles, growth logs, milestone history, and meal rations are stored in an encrypted local database (BalamitraDatabase.kt). The application operates with 100% feature parity with no internet connection.</w:t>
      </w:r>
    </w:p>
    <w:p>
      <w:pPr>
        <w:pStyle w:val="ListParagraph"/>
        <w:numPr>
          <w:ilvl w:val="0"/>
          <w:numId w:val="1"/>
        </w:numPr>
        <w:spacing w:after="60" w:before="60"/>
      </w:pPr>
      <w:r>
        <w:rPr>
          <w:rFonts w:ascii="Calibri" w:cs="Calibri" w:eastAsia="Calibri" w:hAnsi="Calibri"/>
          <w:b/>
          <w:bCs/>
          <w:color w:val="1E293B"/>
          <w:sz w:val="22"/>
          <w:szCs w:val="22"/>
        </w:rPr>
        <w:t xml:space="preserve">Sub-5 KB Sync Packets: </w:t>
      </w:r>
      <w:r>
        <w:rPr>
          <w:rFonts w:ascii="Calibri" w:cs="Calibri" w:eastAsia="Calibri" w:hAnsi="Calibri"/>
          <w:color w:val="334155"/>
          <w:sz w:val="22"/>
          <w:szCs w:val="22"/>
        </w:rPr>
        <w:t xml:space="preserve">When intermittent connectivity is established, local records are serialized into lightweight compressed cryptographic delta payloads under 5 KB, allowing complete synchronization over rural 2G/EDGE mobile connections.</w:t>
      </w:r>
    </w:p>
    <w:p>
      <w:pPr>
        <w:pStyle w:val="ListParagraph"/>
        <w:numPr>
          <w:ilvl w:val="0"/>
          <w:numId w:val="1"/>
        </w:numPr>
        <w:spacing w:after="60" w:before="60"/>
      </w:pPr>
      <w:r>
        <w:rPr>
          <w:rFonts w:ascii="Calibri" w:cs="Calibri" w:eastAsia="Calibri" w:hAnsi="Calibri"/>
          <w:b/>
          <w:bCs/>
          <w:color w:val="1E293B"/>
          <w:sz w:val="22"/>
          <w:szCs w:val="22"/>
        </w:rPr>
        <w:t xml:space="preserve">Zero Cloud Biometric Leakage: </w:t>
      </w:r>
      <w:r>
        <w:rPr>
          <w:rFonts w:ascii="Calibri" w:cs="Calibri" w:eastAsia="Calibri" w:hAnsi="Calibri"/>
          <w:color w:val="334155"/>
          <w:sz w:val="22"/>
          <w:szCs w:val="22"/>
        </w:rPr>
        <w:t xml:space="preserve">All raw voice audio is processed transiently and discarded; only structured anonymized clinical logs are synchronized.</w:t>
      </w:r>
    </w:p>
    <w:p>
      <w:pPr>
        <w:pStyle w:val="Heading1"/>
        <w:spacing w:after="120" w:before="280"/>
      </w:pPr>
      <w:r>
        <w:t xml:space="preserve">5. Software Architecture &amp; Verification Summary</w:t>
      </w:r>
    </w:p>
    <w:p>
      <w:pPr>
        <w:pStyle w:val="ListParagraph"/>
        <w:numPr>
          <w:ilvl w:val="0"/>
          <w:numId w:val="1"/>
        </w:numPr>
        <w:spacing w:after="60" w:before="60"/>
      </w:pPr>
      <w:r>
        <w:rPr>
          <w:rFonts w:ascii="Calibri" w:cs="Calibri" w:eastAsia="Calibri" w:hAnsi="Calibri"/>
          <w:b/>
          <w:bCs/>
          <w:color w:val="1E293B"/>
          <w:sz w:val="22"/>
          <w:szCs w:val="22"/>
        </w:rPr>
        <w:t xml:space="preserve">UI Framework: </w:t>
      </w:r>
      <w:r>
        <w:rPr>
          <w:rFonts w:ascii="Calibri" w:cs="Calibri" w:eastAsia="Calibri" w:hAnsi="Calibri"/>
          <w:color w:val="334155"/>
          <w:sz w:val="22"/>
          <w:szCs w:val="22"/>
        </w:rPr>
        <w:t xml:space="preserve">Jetpack Compose with Material 3 Design System, dynamic text scaling (Aa) for low-vision workers, and localized Telugu typography.</w:t>
      </w:r>
    </w:p>
    <w:p>
      <w:pPr>
        <w:pStyle w:val="ListParagraph"/>
        <w:numPr>
          <w:ilvl w:val="0"/>
          <w:numId w:val="1"/>
        </w:numPr>
        <w:spacing w:after="60" w:before="60"/>
      </w:pPr>
      <w:r>
        <w:rPr>
          <w:rFonts w:ascii="Calibri" w:cs="Calibri" w:eastAsia="Calibri" w:hAnsi="Calibri"/>
          <w:b/>
          <w:bCs/>
          <w:color w:val="1E293B"/>
          <w:sz w:val="22"/>
          <w:szCs w:val="22"/>
        </w:rPr>
        <w:t xml:space="preserve">Architecture Pattern: </w:t>
      </w:r>
      <w:r>
        <w:rPr>
          <w:rFonts w:ascii="Calibri" w:cs="Calibri" w:eastAsia="Calibri" w:hAnsi="Calibri"/>
          <w:color w:val="334155"/>
          <w:sz w:val="22"/>
          <w:szCs w:val="22"/>
        </w:rPr>
        <w:t xml:space="preserve">Clean Architecture with MVI (Model-View-Intent) and MVVM reactive StateFlow streams.</w:t>
      </w:r>
    </w:p>
    <w:p>
      <w:pPr>
        <w:pStyle w:val="ListParagraph"/>
        <w:numPr>
          <w:ilvl w:val="0"/>
          <w:numId w:val="1"/>
        </w:numPr>
        <w:spacing w:after="60" w:before="60"/>
      </w:pPr>
      <w:r>
        <w:rPr>
          <w:rFonts w:ascii="Calibri" w:cs="Calibri" w:eastAsia="Calibri" w:hAnsi="Calibri"/>
          <w:b/>
          <w:bCs/>
          <w:color w:val="1E293B"/>
          <w:sz w:val="22"/>
          <w:szCs w:val="22"/>
        </w:rPr>
        <w:t xml:space="preserve">Test Suite Coverage: </w:t>
      </w:r>
      <w:r>
        <w:rPr>
          <w:rFonts w:ascii="Calibri" w:cs="Calibri" w:eastAsia="Calibri" w:hAnsi="Calibri"/>
          <w:color w:val="334155"/>
          <w:sz w:val="22"/>
          <w:szCs w:val="22"/>
        </w:rPr>
        <w:t xml:space="preserve">12/12 passing unit tests across DomainEnginesTest (WHO LMS mathematics, milestone heuristics, worker sessions) and ChildAdmissionVoiceParserTest (multilingual spoken parsing across Telugu, Hindi, and English).</w:t>
      </w:r>
    </w:p>
    <w:p>
      <w:pPr>
        <w:pStyle w:val="ListParagraph"/>
        <w:numPr>
          <w:ilvl w:val="0"/>
          <w:numId w:val="1"/>
        </w:numPr>
        <w:spacing w:after="60" w:before="60"/>
      </w:pPr>
      <w:r>
        <w:rPr>
          <w:rFonts w:ascii="Calibri" w:cs="Calibri" w:eastAsia="Calibri" w:hAnsi="Calibri"/>
          <w:b/>
          <w:bCs/>
          <w:color w:val="1E293B"/>
          <w:sz w:val="22"/>
          <w:szCs w:val="22"/>
        </w:rPr>
        <w:t xml:space="preserve">Live Web App &amp; Cloud Distribution: </w:t>
      </w:r>
      <w:r>
        <w:rPr>
          <w:rFonts w:ascii="Calibri" w:cs="Calibri" w:eastAsia="Calibri" w:hAnsi="Calibri"/>
          <w:color w:val="334155"/>
          <w:sz w:val="22"/>
          <w:szCs w:val="22"/>
        </w:rPr>
        <w:t xml:space="preserve">Hosted at https://balamitra-ketos.web.app with live APK distribution and scan-to-install QR 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Page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of </w:t>
    </w:r>
    <w:r>
      <w:rPr>
        <w:rFonts w:ascii="Calibri" w:cs="Calibri" w:eastAsia="Calibri" w:hAnsi="Calibr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Balamitra (బాలమిత్ర) — Complete Platform &amp; LLM Architectural Specification</w:t>
    </w:r>
    <w:r>
      <w:rPr>
        <w:rFonts w:ascii="Calibri" w:cs="Calibri" w:eastAsia="Calibri" w:hAnsi="Calibri"/>
        <w:color w:val="94A3B8"/>
        <w:sz w:val="18"/>
        <w:szCs w:val="18"/>
      </w:rPr>
      <w:t xml:space="preserve">Balamitra Platform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2026-09-20T19:45:54.892Z</dcterms:created>
  <dcterms:modified xsi:type="dcterms:W3CDTF">2026-09-20T19:45:54.893Z</dcterms:modified>
</cp:coreProperties>
</file>

<file path=docProps/custom.xml><?xml version="1.0" encoding="utf-8"?>
<Properties xmlns="http://schemas.openxmlformats.org/officeDocument/2006/custom-properties" xmlns:vt="http://schemas.openxmlformats.org/officeDocument/2006/docPropsVTypes"/>
</file>