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Observability, Evaluation &amp; Self-Learning Platform</w:t>
      </w:r>
    </w:p>
    <w:p>
      <w:r>
        <w:t>9-Stage GenAI Use-Case Lifecycle Map</w:t>
      </w:r>
    </w:p>
    <w:tbl>
      <w:tblPr>
        <w:tblStyle w:val="TableGrid"/>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What Happens</w:t>
            </w:r>
          </w:p>
        </w:tc>
        <w:tc>
          <w:tcPr>
            <w:tcW w:type="dxa" w:w="2880"/>
          </w:tcPr>
          <w:p>
            <w:r>
              <w:t>Artifact Produced</w:t>
            </w:r>
          </w:p>
        </w:tc>
      </w:tr>
      <w:tr>
        <w:tc>
          <w:tcPr>
            <w:tcW w:type="dxa" w:w="2880"/>
          </w:tcPr>
          <w:p>
            <w:r>
              <w:t>1. Ideation</w:t>
            </w:r>
          </w:p>
        </w:tc>
        <w:tc>
          <w:tcPr>
            <w:tcW w:type="dxa" w:w="2880"/>
          </w:tcPr>
          <w:p>
            <w:r>
              <w:t>Identify the need to monitor and evaluate GenAI applications so teams can track quality, hallucinations, latency, cost, and agent behavior.</w:t>
            </w:r>
          </w:p>
        </w:tc>
        <w:tc>
          <w:tcPr>
            <w:tcW w:type="dxa" w:w="2880"/>
          </w:tcPr>
          <w:p>
            <w:r>
              <w:t>One-page problem statement</w:t>
            </w:r>
          </w:p>
        </w:tc>
      </w:tr>
      <w:tr>
        <w:tc>
          <w:tcPr>
            <w:tcW w:type="dxa" w:w="2880"/>
          </w:tcPr>
          <w:p>
            <w:r>
              <w:t>2. Intake</w:t>
            </w:r>
          </w:p>
        </w:tc>
        <w:tc>
          <w:tcPr>
            <w:tcW w:type="dxa" w:w="2880"/>
          </w:tcPr>
          <w:p>
            <w:r>
              <w:t>Gather details about the GenAI applications to be onboarded, including RAG, agents, LLMs, users, data flows, and evaluation requirements.</w:t>
            </w:r>
          </w:p>
        </w:tc>
        <w:tc>
          <w:tcPr>
            <w:tcW w:type="dxa" w:w="2880"/>
          </w:tcPr>
          <w:p>
            <w:r>
              <w:t>Completed intake form / use-case requirements</w:t>
            </w:r>
          </w:p>
        </w:tc>
      </w:tr>
      <w:tr>
        <w:tc>
          <w:tcPr>
            <w:tcW w:type="dxa" w:w="2880"/>
          </w:tcPr>
          <w:p>
            <w:r>
              <w:t>3. Risk Tiering</w:t>
            </w:r>
          </w:p>
        </w:tc>
        <w:tc>
          <w:tcPr>
            <w:tcW w:type="dxa" w:w="2880"/>
          </w:tcPr>
          <w:p>
            <w:r>
              <w:t>Assess the risk level based on the applications being monitored, data sensitivity, customer impact, and whether sensitive prompts or responses are captured.</w:t>
            </w:r>
          </w:p>
        </w:tc>
        <w:tc>
          <w:tcPr>
            <w:tcW w:type="dxa" w:w="2880"/>
          </w:tcPr>
          <w:p>
            <w:r>
              <w:t>Risk tiering decision + rationale</w:t>
            </w:r>
          </w:p>
        </w:tc>
      </w:tr>
      <w:tr>
        <w:tc>
          <w:tcPr>
            <w:tcW w:type="dxa" w:w="2880"/>
          </w:tcPr>
          <w:p>
            <w:r>
              <w:t>4. Design</w:t>
            </w:r>
          </w:p>
        </w:tc>
        <w:tc>
          <w:tcPr>
            <w:tcW w:type="dxa" w:w="2880"/>
          </w:tcPr>
          <w:p>
            <w:r>
              <w:t>Design the observability architecture, including trace capture, agent monitoring, RAG evaluation, dashboards, feedback loops, and integration with enterprise observability.</w:t>
            </w:r>
          </w:p>
        </w:tc>
        <w:tc>
          <w:tcPr>
            <w:tcW w:type="dxa" w:w="2880"/>
          </w:tcPr>
          <w:p>
            <w:r>
              <w:t>Architecture diagram + ADRs</w:t>
            </w:r>
          </w:p>
        </w:tc>
      </w:tr>
      <w:tr>
        <w:tc>
          <w:tcPr>
            <w:tcW w:type="dxa" w:w="2880"/>
          </w:tcPr>
          <w:p>
            <w:r>
              <w:t>5. Build</w:t>
            </w:r>
          </w:p>
        </w:tc>
        <w:tc>
          <w:tcPr>
            <w:tcW w:type="dxa" w:w="2880"/>
          </w:tcPr>
          <w:p>
            <w:r>
              <w:t>Integrate the platform with GenAI applications and implement tracing, evaluation pipelines, dashboards, alerts, and feedback collection.</w:t>
            </w:r>
          </w:p>
        </w:tc>
        <w:tc>
          <w:tcPr>
            <w:tcW w:type="dxa" w:w="2880"/>
          </w:tcPr>
          <w:p>
            <w:r>
              <w:t>Working integration + evaluation pipeline</w:t>
            </w:r>
          </w:p>
        </w:tc>
      </w:tr>
      <w:tr>
        <w:tc>
          <w:tcPr>
            <w:tcW w:type="dxa" w:w="2880"/>
          </w:tcPr>
          <w:p>
            <w:r>
              <w:t>6. Validate</w:t>
            </w:r>
          </w:p>
        </w:tc>
        <w:tc>
          <w:tcPr>
            <w:tcW w:type="dxa" w:w="2880"/>
          </w:tcPr>
          <w:p>
            <w:r>
              <w:t>Test whether traces, metrics, evaluations, and feedback are captured correctly and whether the evaluation results are reliable.</w:t>
            </w:r>
          </w:p>
        </w:tc>
        <w:tc>
          <w:tcPr>
            <w:tcW w:type="dxa" w:w="2880"/>
          </w:tcPr>
          <w:p>
            <w:r>
              <w:t>Independent validation report</w:t>
            </w:r>
          </w:p>
        </w:tc>
      </w:tr>
      <w:tr>
        <w:tc>
          <w:tcPr>
            <w:tcW w:type="dxa" w:w="2880"/>
          </w:tcPr>
          <w:p>
            <w:r>
              <w:t>7. Deploy</w:t>
            </w:r>
          </w:p>
        </w:tc>
        <w:tc>
          <w:tcPr>
            <w:tcW w:type="dxa" w:w="2880"/>
          </w:tcPr>
          <w:p>
            <w:r>
              <w:t>Onboard a small set of GenAI applications first, then gradually roll out the observability platform to additional use cases.</w:t>
            </w:r>
          </w:p>
        </w:tc>
        <w:tc>
          <w:tcPr>
            <w:tcW w:type="dxa" w:w="2880"/>
          </w:tcPr>
          <w:p>
            <w:r>
              <w:t>Deployment approval + rollout plan</w:t>
            </w:r>
          </w:p>
        </w:tc>
      </w:tr>
      <w:tr>
        <w:tc>
          <w:tcPr>
            <w:tcW w:type="dxa" w:w="2880"/>
          </w:tcPr>
          <w:p>
            <w:r>
              <w:t>8. Monitor</w:t>
            </w:r>
          </w:p>
        </w:tc>
        <w:tc>
          <w:tcPr>
            <w:tcW w:type="dxa" w:w="2880"/>
          </w:tcPr>
          <w:p>
            <w:r>
              <w:t>Continuously monitor AI quality, latency, token usage, cost, hallucinations, RAG performance, agent execution, and user feedback.</w:t>
            </w:r>
          </w:p>
        </w:tc>
        <w:tc>
          <w:tcPr>
            <w:tcW w:type="dxa" w:w="2880"/>
          </w:tcPr>
          <w:p>
            <w:r>
              <w:t>Monitoring dashboards + incident log</w:t>
            </w:r>
          </w:p>
        </w:tc>
      </w:tr>
      <w:tr>
        <w:tc>
          <w:tcPr>
            <w:tcW w:type="dxa" w:w="2880"/>
          </w:tcPr>
          <w:p>
            <w:r>
              <w:t>9. Retire</w:t>
            </w:r>
          </w:p>
        </w:tc>
        <w:tc>
          <w:tcPr>
            <w:tcW w:type="dxa" w:w="2880"/>
          </w:tcPr>
          <w:p>
            <w:r>
              <w:t>Decommission integrations, dashboards, and evaluation configurations when a GenAI application or model is retired or replaced.</w:t>
            </w:r>
          </w:p>
        </w:tc>
        <w:tc>
          <w:tcPr>
            <w:tcW w:type="dxa" w:w="2880"/>
          </w:tcPr>
          <w:p>
            <w:r>
              <w:t>Decommission record + data-handling confirmation</w:t>
            </w:r>
          </w:p>
        </w:tc>
      </w:tr>
    </w:tbl>
    <w:p>
      <w:pPr>
        <w:pStyle w:val="Heading1"/>
      </w:pPr>
      <w:r>
        <w:t>Simple Lifecycle Flow</w:t>
      </w:r>
    </w:p>
    <w:p>
      <w:r>
        <w:t>Identify the observability need → Gather requirements → Assess risk → Design architecture → Build integrations → Validate metrics → Deploy → Continuously monitor &amp; evaluate → Retire when obsolete</w:t>
      </w:r>
    </w:p>
    <w:p>
      <w:pPr>
        <w:pStyle w:val="Heading1"/>
      </w:pPr>
      <w:r>
        <w:t>Use Case Summary</w:t>
      </w:r>
    </w:p>
    <w:p>
      <w:r>
        <w:t>Our use case is an AI Observability and Evaluation platform. The objective is to provide end-to-end visibility into GenAI applications, including RAG pipelines and AI agents. We capture traces, monitor performance and quality, evaluate outputs using defined metrics, collect user feedback, and use those insights for continuous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