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b/>
          <w:color w:val="1F4E79"/>
          <w:sz w:val="24"/>
        </w:rPr>
        <w:t>VERITY™</w:t>
      </w:r>
    </w:p>
    <w:p>
      <w:pPr>
        <w:spacing w:after="40"/>
      </w:pPr>
      <w:r>
        <w:rPr>
          <w:rFonts w:ascii="Calibri" w:hAnsi="Calibri"/>
          <w:b/>
          <w:color w:val="2A2A2A"/>
          <w:sz w:val="36"/>
        </w:rPr>
        <w:t>VERITY CRAFT™</w:t>
        <w:br/>
        <w:t>Executive Brief (v1.1)</w:t>
      </w:r>
    </w:p>
    <w:p>
      <w:pPr>
        <w:spacing w:after="200"/>
      </w:pPr>
      <w:r>
        <w:rPr>
          <w:rFonts w:ascii="Calibri" w:hAnsi="Calibri"/>
          <w:color w:val="505050"/>
          <w:sz w:val="21"/>
        </w:rPr>
        <w:t>Life Sciences Primary Market Research (PMR) Instrument, Stimulus, and Launch-Control Design</w:t>
      </w:r>
    </w:p>
    <w:tbl>
      <w:tblPr>
        <w:tblW w:type="auto" w:w="0"/>
        <w:jc w:val="left"/>
        <w:tblLayout w:type="fixed"/>
        <w:tblLook w:firstColumn="1" w:firstRow="1" w:lastColumn="0" w:lastRow="0" w:noHBand="0" w:noVBand="1" w:val="04A0"/>
      </w:tblPr>
      <w:tblGrid>
        <w:gridCol w:w="2556"/>
        <w:gridCol w:w="2556"/>
        <w:gridCol w:w="2556"/>
        <w:gridCol w:w="2556"/>
      </w:tblGrid>
      <w:tr>
        <w:tc>
          <w:tcPr>
            <w:tcW w:type="dxa" w:w="1440"/>
            <w:tcMar>
              <w:top w:w="80" w:type="dxa"/>
              <w:start w:w="110" w:type="dxa"/>
              <w:bottom w:w="80" w:type="dxa"/>
              <w:end w:w="110" w:type="dxa"/>
            </w:tcMar>
            <w:vAlign w:val="center"/>
            <w:shd w:fill="EDEDED"/>
          </w:tcPr>
          <w:p>
            <w:pPr>
              <w:spacing w:after="0"/>
            </w:pPr>
            <w:r>
              <w:rPr>
                <w:rFonts w:ascii="Calibri" w:hAnsi="Calibri"/>
                <w:b/>
                <w:sz w:val="18"/>
              </w:rPr>
              <w:t>Version</w:t>
            </w:r>
          </w:p>
        </w:tc>
        <w:tc>
          <w:tcPr>
            <w:tcW w:type="dxa" w:w="3168"/>
            <w:tcMar>
              <w:top w:w="80" w:type="dxa"/>
              <w:start w:w="110" w:type="dxa"/>
              <w:bottom w:w="80" w:type="dxa"/>
              <w:end w:w="110" w:type="dxa"/>
            </w:tcMar>
            <w:vAlign w:val="center"/>
          </w:tcPr>
          <w:p>
            <w:pPr>
              <w:spacing w:after="0"/>
            </w:pPr>
            <w:r>
              <w:rPr>
                <w:rFonts w:ascii="Calibri" w:hAnsi="Calibri"/>
                <w:sz w:val="18"/>
              </w:rPr>
              <w:t>v1.1</w:t>
            </w:r>
          </w:p>
        </w:tc>
        <w:tc>
          <w:tcPr>
            <w:tcW w:type="dxa" w:w="1584"/>
            <w:tcMar>
              <w:top w:w="80" w:type="dxa"/>
              <w:start w:w="110" w:type="dxa"/>
              <w:bottom w:w="80" w:type="dxa"/>
              <w:end w:w="110" w:type="dxa"/>
            </w:tcMar>
            <w:vAlign w:val="center"/>
            <w:shd w:fill="EDEDED"/>
          </w:tcPr>
          <w:p>
            <w:pPr>
              <w:spacing w:after="0"/>
            </w:pPr>
            <w:r>
              <w:rPr>
                <w:rFonts w:ascii="Calibri" w:hAnsi="Calibri"/>
                <w:b/>
                <w:sz w:val="18"/>
              </w:rPr>
              <w:t>Audience</w:t>
            </w:r>
          </w:p>
        </w:tc>
        <w:tc>
          <w:tcPr>
            <w:tcW w:type="dxa" w:w="3456"/>
            <w:tcMar>
              <w:top w:w="80" w:type="dxa"/>
              <w:start w:w="110" w:type="dxa"/>
              <w:bottom w:w="80" w:type="dxa"/>
              <w:end w:w="110" w:type="dxa"/>
            </w:tcMar>
            <w:vAlign w:val="center"/>
          </w:tcPr>
          <w:p>
            <w:pPr>
              <w:spacing w:after="0"/>
            </w:pPr>
            <w:r>
              <w:rPr>
                <w:rFonts w:ascii="Calibri" w:hAnsi="Calibri"/>
                <w:sz w:val="18"/>
              </w:rPr>
              <w:t>Executive + Product + Delivery Leadership</w:t>
            </w:r>
          </w:p>
        </w:tc>
      </w:tr>
      <w:tr>
        <w:tc>
          <w:tcPr>
            <w:tcW w:type="dxa" w:w="1440"/>
            <w:tcMar>
              <w:top w:w="80" w:type="dxa"/>
              <w:start w:w="110" w:type="dxa"/>
              <w:bottom w:w="80" w:type="dxa"/>
              <w:end w:w="110" w:type="dxa"/>
            </w:tcMar>
            <w:vAlign w:val="center"/>
            <w:shd w:fill="EDEDED"/>
          </w:tcPr>
          <w:p>
            <w:pPr>
              <w:spacing w:after="0"/>
            </w:pPr>
            <w:r>
              <w:rPr>
                <w:rFonts w:ascii="Calibri" w:hAnsi="Calibri"/>
                <w:b/>
                <w:sz w:val="18"/>
              </w:rPr>
              <w:t>Date</w:t>
            </w:r>
          </w:p>
        </w:tc>
        <w:tc>
          <w:tcPr>
            <w:tcW w:type="dxa" w:w="3168"/>
            <w:tcMar>
              <w:top w:w="80" w:type="dxa"/>
              <w:start w:w="110" w:type="dxa"/>
              <w:bottom w:w="80" w:type="dxa"/>
              <w:end w:w="110" w:type="dxa"/>
            </w:tcMar>
            <w:vAlign w:val="center"/>
          </w:tcPr>
          <w:p>
            <w:pPr>
              <w:spacing w:after="0"/>
            </w:pPr>
            <w:r>
              <w:rPr>
                <w:rFonts w:ascii="Calibri" w:hAnsi="Calibri"/>
                <w:sz w:val="18"/>
              </w:rPr>
              <w:t>15 Mar 2026</w:t>
            </w:r>
          </w:p>
        </w:tc>
        <w:tc>
          <w:tcPr>
            <w:tcW w:type="dxa" w:w="1584"/>
            <w:tcMar>
              <w:top w:w="80" w:type="dxa"/>
              <w:start w:w="110" w:type="dxa"/>
              <w:bottom w:w="80" w:type="dxa"/>
              <w:end w:w="110" w:type="dxa"/>
            </w:tcMar>
            <w:vAlign w:val="center"/>
            <w:shd w:fill="EDEDED"/>
          </w:tcPr>
          <w:p>
            <w:pPr>
              <w:spacing w:after="0"/>
            </w:pPr>
            <w:r>
              <w:rPr>
                <w:rFonts w:ascii="Calibri" w:hAnsi="Calibri"/>
                <w:b/>
                <w:sz w:val="18"/>
              </w:rPr>
              <w:t>Owner</w:t>
            </w:r>
          </w:p>
        </w:tc>
        <w:tc>
          <w:tcPr>
            <w:tcW w:type="dxa" w:w="3456"/>
            <w:tcMar>
              <w:top w:w="80" w:type="dxa"/>
              <w:start w:w="110" w:type="dxa"/>
              <w:bottom w:w="80" w:type="dxa"/>
              <w:end w:w="110" w:type="dxa"/>
            </w:tcMar>
            <w:vAlign w:val="center"/>
          </w:tcPr>
          <w:p>
            <w:pPr>
              <w:spacing w:after="0"/>
            </w:pPr>
            <w:r>
              <w:rPr>
                <w:rFonts w:ascii="Calibri" w:hAnsi="Calibri"/>
                <w:sz w:val="18"/>
              </w:rPr>
              <w:t>Pravindra Awasthi</w:t>
            </w:r>
          </w:p>
        </w:tc>
      </w:tr>
    </w:tbl>
    <w:p/>
    <w:tbl>
      <w:tblPr>
        <w:tblW w:type="auto" w:w="0"/>
        <w:jc w:val="left"/>
        <w:tblLook w:firstColumn="1" w:firstRow="1" w:lastColumn="0" w:lastRow="0" w:noHBand="0" w:noVBand="1" w:val="04A0"/>
      </w:tblPr>
      <w:tblGrid>
        <w:gridCol w:w="10224"/>
      </w:tblGrid>
      <w:tr>
        <w:tc>
          <w:tcPr>
            <w:tcW w:type="dxa" w:w="10224"/>
            <w:shd w:fill="F7FAFC"/>
            <w:tcMar>
              <w:top w:w="120" w:type="dxa"/>
              <w:start w:w="120" w:type="dxa"/>
              <w:bottom w:w="120" w:type="dxa"/>
              <w:end w:w="120" w:type="dxa"/>
            </w:tcMar>
          </w:tcPr>
          <w:p>
            <w:r/>
            <w:r>
              <w:rPr>
                <w:b/>
                <w:sz w:val="19"/>
              </w:rPr>
              <w:t>Document purpose</w:t>
            </w:r>
          </w:p>
          <w:p>
            <w:pPr>
              <w:spacing w:before="20" w:after="0"/>
            </w:pPr>
            <w:r>
              <w:rPr>
                <w:sz w:val="18"/>
              </w:rPr>
              <w:t>This document is part of the VERITY PMR operating-system package and gives an executive-ready definition of the module and its package role.</w:t>
            </w:r>
          </w:p>
        </w:tc>
      </w:tr>
    </w:tbl>
    <w:p/>
    <w:p>
      <w:pPr>
        <w:pStyle w:val="Heading2"/>
        <w:spacing w:before="120" w:after="60"/>
      </w:pPr>
      <w:r>
        <w:t>What this document covers</w:t>
      </w:r>
    </w:p>
    <w:p>
      <w:pPr>
        <w:pStyle w:val="ListBullet"/>
      </w:pPr>
      <w:r>
        <w:t>Module purpose: convert the approved PMR baseline into controlled instruments and launch-ready design assets across quant, qual, and hybrid methods.</w:t>
      </w:r>
    </w:p>
    <w:p>
      <w:pPr>
        <w:pStyle w:val="ListBullet"/>
      </w:pPr>
      <w:r>
        <w:t>Design standard: works with a connected SCOPE baseline or with a standalone CRAFT baseline when SCOPE is absent.</w:t>
      </w:r>
    </w:p>
    <w:p>
      <w:pPr>
        <w:pStyle w:val="ListBullet"/>
      </w:pPr>
      <w:r>
        <w:t>Governance standard: Master Governance v1.1 wins on event names, gate verbs, platform-state mapping, and package-level precedence.</w:t>
      </w:r>
    </w:p>
    <w:p>
      <w:pPr>
        <w:pStyle w:val="Heading1"/>
        <w:spacing w:before="160" w:after="60"/>
      </w:pPr>
      <w:r>
        <w:t>Why this module exists</w:t>
      </w:r>
    </w:p>
    <w:p>
      <w:pPr/>
      <w:r>
        <w:t>VERITY CRAFT is the design-control layer for questionnaires, discussion guides, moderator guides, screeners, stimulus, localization, and pilot outputs. It makes instrument readiness auditable before SAMPLE and FIELD begin execution.</w:t>
      </w:r>
    </w:p>
    <w:p>
      <w:pPr>
        <w:pStyle w:val="Heading2"/>
        <w:spacing w:before="120" w:after="60"/>
      </w:pPr>
      <w:r>
        <w:t>What it owns</w:t>
      </w:r>
    </w:p>
    <w:p>
      <w:pPr>
        <w:pStyle w:val="ListBullet"/>
      </w:pPr>
      <w:r>
        <w:t>Instrument family control across survey, screener, guide, moderator pack, and hybrid study assets</w:t>
      </w:r>
    </w:p>
    <w:p>
      <w:pPr>
        <w:pStyle w:val="ListBullet"/>
      </w:pPr>
      <w:r>
        <w:t>Stimulus versioning, localization, translation / transcreation, and pilot evidence</w:t>
      </w:r>
    </w:p>
    <w:p>
      <w:pPr>
        <w:pStyle w:val="ListBullet"/>
      </w:pPr>
      <w:r>
        <w:t>Version-drift control between draft, pilot, localized, and live artifacts</w:t>
      </w:r>
    </w:p>
    <w:p>
      <w:pPr>
        <w:pStyle w:val="ListBullet"/>
      </w:pPr>
      <w:r>
        <w:t>Launch-readiness design evidence that becomes the approved InstrumentPack</w:t>
      </w:r>
    </w:p>
    <w:p>
      <w:pPr>
        <w:pStyle w:val="Heading1"/>
        <w:spacing w:before="160" w:after="60"/>
      </w:pPr>
      <w:r>
        <w:t>How it works in the operating system</w:t>
      </w:r>
    </w:p>
    <w:p>
      <w:pPr/>
      <w:r>
        <w:t>In connected mode, CRAFT starts from scope.baseline_locked, pins the approved commercial baseline, and produces the InstrumentPack consumed by SAMPLE and FIELD. A baseline change forces structured out-of-date control rather than silent drift.</w:t>
      </w:r>
    </w:p>
    <w:p>
      <w:pPr>
        <w:pStyle w:val="Heading1"/>
        <w:spacing w:before="160" w:after="60"/>
      </w:pPr>
      <w:r>
        <w:t>How it works independently</w:t>
      </w:r>
    </w:p>
    <w:p>
      <w:pPr/>
      <w:r>
        <w:t>In standalone mode, CRAFT creates and approves its own baseline package and then applies the same drafting, validation, localization, and readiness gate logic. This supports instrument refreshes, legacy studies, and modular deployment.</w:t>
      </w:r>
    </w:p>
    <w:p>
      <w:pPr>
        <w:pStyle w:val="Heading1"/>
        <w:spacing w:before="160" w:after="60"/>
      </w:pPr>
      <w:r>
        <w:t>Management outcomes</w:t>
      </w:r>
    </w:p>
    <w:p>
      <w:pPr>
        <w:pStyle w:val="ListBullet"/>
      </w:pPr>
      <w:r>
        <w:t>Cleaner instrument build with fewer downstream defects</w:t>
      </w:r>
    </w:p>
    <w:p>
      <w:pPr>
        <w:pStyle w:val="ListBullet"/>
      </w:pPr>
      <w:r>
        <w:t>Better control of translations, stimuli, and pilot feedback</w:t>
      </w:r>
    </w:p>
    <w:p>
      <w:pPr>
        <w:pStyle w:val="ListBullet"/>
      </w:pPr>
      <w:r>
        <w:t>More reliable launch-readiness evidence before recruitment and fieldwork start</w:t>
      </w:r>
    </w:p>
    <w:p>
      <w:pPr>
        <w:pStyle w:val="ListBullet"/>
      </w:pPr>
      <w:r>
        <w:t>One trusted instrument lineage for VERIFY, REPORT, SAFETY, and INTELLIGENCE</w:t>
      </w:r>
    </w:p>
    <w:p>
      <w:pPr>
        <w:pStyle w:val="Heading1"/>
        <w:spacing w:before="160" w:after="60"/>
      </w:pPr>
      <w:r>
        <w:t>Non-negotiable controls</w:t>
      </w:r>
    </w:p>
    <w:p>
      <w:pPr>
        <w:pStyle w:val="ListBullet"/>
      </w:pPr>
      <w:r>
        <w:t>Approve / Hold / Revise remains the gate vocabulary at every design gate.</w:t>
      </w:r>
    </w:p>
    <w:p>
      <w:pPr>
        <w:pStyle w:val="ListBullet"/>
      </w:pPr>
      <w:r>
        <w:t>Every live artifact must trace back to the approved InstrumentPack and any approved localization/pilot pack.</w:t>
      </w:r>
    </w:p>
    <w:p>
      <w:pPr>
        <w:pStyle w:val="ListBullet"/>
      </w:pPr>
      <w:r>
        <w:t>Screeners, questionnaires, discussion guides, moderator guides, translated versions, and pilot/live versions must be version-linked, not managed informally.</w:t>
      </w:r>
    </w:p>
    <w:p>
      <w:pPr>
        <w:pStyle w:val="ListBullet"/>
      </w:pPr>
      <w:r>
        <w:t>Consent, recording, privacy, and PMR-safety wording requirements must be included before launch approval.</w:t>
      </w:r>
    </w:p>
    <w:p>
      <w:pPr>
        <w:pStyle w:val="Heading1"/>
        <w:spacing w:before="160" w:after="60"/>
      </w:pPr>
      <w:r>
        <w:t>Primary users</w:t>
      </w:r>
    </w:p>
    <w:p>
      <w:pPr/>
      <w:r>
        <w:t>Research Lead, Instrument / Survey Lead, Project Manager, Survey Programmer / Scripting Lead, Qual Lead / Moderator Lead, Compliance reviewer</w:t>
      </w:r>
    </w:p>
    <w:sectPr w:rsidR="00FC693F" w:rsidRPr="0006063C" w:rsidSect="00034616">
      <w:footerReference w:type="default" r:id="rId9"/>
      <w:pgSz w:w="12240" w:h="15840"/>
      <w:pgMar w:top="936"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46464"/>
        <w:sz w:val="16"/>
      </w:rPr>
      <w:t>VERITY PMR Package | v1.1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Calibri" w:hAnsi="Calibri"/>
      <w:color w:val="2A2A2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27"/>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E79"/>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E7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59" w:lineRule="auto"/>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59" w:lineRule="auto"/>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