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632699"/>
            <wp:docPr id="1" name="Picture 1"/>
            <wp:cNvGraphicFramePr>
              <a:graphicFrameLocks noChangeAspect="1"/>
            </wp:cNvGraphicFramePr>
            <a:graphic>
              <a:graphicData uri="http://schemas.openxmlformats.org/drawingml/2006/picture">
                <pic:pic>
                  <pic:nvPicPr>
                    <pic:cNvPr id="0" name="Logo_White_Background.png"/>
                    <pic:cNvPicPr/>
                  </pic:nvPicPr>
                  <pic:blipFill>
                    <a:blip r:embed="rId9"/>
                    <a:stretch>
                      <a:fillRect/>
                    </a:stretch>
                  </pic:blipFill>
                  <pic:spPr>
                    <a:xfrm>
                      <a:off x="0" y="0"/>
                      <a:ext cx="2286000" cy="632699"/>
                    </a:xfrm>
                    <a:prstGeom prst="rect"/>
                  </pic:spPr>
                </pic:pic>
              </a:graphicData>
            </a:graphic>
          </wp:inline>
        </w:drawing>
      </w:r>
    </w:p>
    <w:p/>
    <w:p/>
    <w:p/>
    <w:p>
      <w:pPr>
        <w:jc w:val="center"/>
      </w:pPr>
      <w:r>
        <w:rPr>
          <w:rFonts w:ascii="Inter" w:hAnsi="Inter"/>
          <w:b/>
          <w:color w:val="1F2937"/>
          <w:sz w:val="64"/>
        </w:rPr>
        <w:t>REQUEST FOR PROPOSAL</w:t>
      </w:r>
    </w:p>
    <w:p>
      <w:pPr>
        <w:jc w:val="center"/>
        <w:shd w:val="clear" w:color="auto" w:fill="FFF3E0"/>
      </w:pPr>
      <w:r>
        <w:rPr>
          <w:rFonts w:ascii="Inter" w:hAnsi="Inter"/>
          <w:color w:val="DA365C"/>
          <w:sz w:val="36"/>
        </w:rPr>
      </w:r>
      <w:r>
        <w:rPr>
          <w:sz w:val="20"/>
        </w:rPr>
        <w:t>COMMERCIAL OVERVIEW</w:t>
        <w:tab/>
        <w:t>2</w:t>
      </w:r>
    </w:p>
    <w:p>
      <w:pPr>
        <w:jc w:val="center"/>
      </w:pPr>
      <w:r>
        <w:rPr>
          <w:i/>
          <w:color w:val="6B7280"/>
          <w:sz w:val="18"/>
        </w:rPr>
        <w:t>Examples: "Expert Performance Tracking Program" | "Payer Concept &amp; Message Testing" | "Healthcare Market Pulse Survey" | "TPP Quantitative Concept Testing &amp; Claims Conjoint"</w:t>
      </w:r>
    </w:p>
    <w:p/>
    <w:p>
      <w:pPr>
        <w:jc w:val="center"/>
        <w:shd w:val="clear" w:color="auto" w:fill="E8F5E9"/>
      </w:pPr>
      <w:r>
        <w:rPr>
          <w:rFonts w:ascii="Inter" w:hAnsi="Inter"/>
          <w:color w:val="2E7D32"/>
          <w:sz w:val="28"/>
        </w:rPr>
      </w:r>
      <w:r>
        <w:rPr>
          <w:sz w:val="20"/>
        </w:rPr>
        <w:t>Qualitative</w:t>
      </w:r>
    </w:p>
    <w:p/>
    <w:p/>
    <w:p>
      <w:pPr>
        <w:jc w:val="center"/>
        <w:shd w:val="clear" w:color="auto" w:fill="FFF3E0"/>
      </w:pPr>
      <w:r>
        <w:rPr>
          <w:color w:val="DA365C"/>
          <w:sz w:val="24"/>
        </w:rPr>
      </w:r>
      <w:r>
        <w:rPr>
          <w:sz w:val="20"/>
        </w:rPr>
        <w:t>Where specific dates are listed, please assume time zone is GMT (UK).</w:t>
        <w:br/>
        <w:t>Background: [CLIENT_ORG] Consumer Healthcare Expert Strategy</w:t>
        <w:br/>
        <w:t xml:space="preserve">Our overall ambition is to drive sales by being the most trusted and </w:t>
      </w:r>
    </w:p>
    <w:p>
      <w:pPr>
        <w:jc w:val="center"/>
      </w:pPr>
      <w:r>
        <w:rPr>
          <w:b/>
          <w:color w:val="4B5563"/>
          <w:sz w:val="24"/>
        </w:rPr>
        <w:t>CONFIDENTIAL</w:t>
      </w:r>
    </w:p>
    <w:p>
      <w:r>
        <w:br w:type="page"/>
      </w:r>
    </w:p>
    <w:p>
      <w:pPr>
        <w:pStyle w:val="Heading1"/>
      </w:pPr>
      <w:r>
        <w:t>How to Use This Template</w:t>
      </w:r>
    </w:p>
    <w:p>
      <w:pPr>
        <w:shd w:val="clear" w:color="auto" w:fill="E3F2FD"/>
      </w:pPr>
      <w:r>
        <w:rPr>
          <w:i/>
          <w:color w:val="01579B"/>
          <w:sz w:val="20"/>
        </w:rPr>
        <w:t>ℹ️  This template can produce any standard RFP for primary market research. Fill in all highlighted fields, delete sections not applicable, and add content as needed.</w:t>
      </w:r>
    </w:p>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Color Code</w:t>
            </w:r>
          </w:p>
        </w:tc>
        <w:tc>
          <w:tcPr>
            <w:tcW w:type="dxa" w:w="3135"/>
            <w:shd w:fill="1F2937"/>
          </w:tcPr>
          <w:p>
            <w:r/>
            <w:r>
              <w:rPr>
                <w:rFonts w:ascii="Inter" w:hAnsi="Inter"/>
                <w:b/>
                <w:color w:val="FFFFFF"/>
                <w:sz w:val="20"/>
              </w:rPr>
              <w:t>Meaning</w:t>
            </w:r>
          </w:p>
        </w:tc>
        <w:tc>
          <w:tcPr>
            <w:tcW w:type="dxa" w:w="3135"/>
            <w:shd w:fill="1F2937"/>
          </w:tcPr>
          <w:p>
            <w:r/>
            <w:r>
              <w:rPr>
                <w:rFonts w:ascii="Inter" w:hAnsi="Inter"/>
                <w:b/>
                <w:color w:val="FFFFFF"/>
                <w:sz w:val="20"/>
              </w:rPr>
              <w:t>Action</w:t>
            </w:r>
          </w:p>
        </w:tc>
      </w:tr>
      <w:tr>
        <w:tc>
          <w:tcPr>
            <w:tcW w:type="dxa" w:w="3135"/>
            <w:shd w:fill="FFF3E0"/>
          </w:tcPr>
          <w:p>
            <w:r>
              <w:rPr>
                <w:rFonts w:ascii="Inter" w:hAnsi="Inter"/>
                <w:sz w:val="20"/>
              </w:rPr>
            </w:r>
          </w:p>
        </w:tc>
        <w:tc>
          <w:tcPr>
            <w:tcW w:type="dxa" w:w="3135"/>
          </w:tcPr>
          <w:p>
            <w:r>
              <w:rPr>
                <w:rFonts w:ascii="Inter" w:hAnsi="Inter"/>
                <w:sz w:val="20"/>
              </w:rPr>
              <w:t>Free-text field</w:t>
            </w:r>
          </w:p>
        </w:tc>
        <w:tc>
          <w:tcPr>
            <w:tcW w:type="dxa" w:w="3135"/>
          </w:tcPr>
          <w:p>
            <w:r>
              <w:rPr>
                <w:rFonts w:ascii="Inter" w:hAnsi="Inter"/>
                <w:sz w:val="20"/>
              </w:rPr>
              <w:t>Replace bracketed text with your content</w:t>
            </w:r>
          </w:p>
        </w:tc>
      </w:tr>
      <w:tr>
        <w:tc>
          <w:tcPr>
            <w:tcW w:type="dxa" w:w="3135"/>
            <w:shd w:fill="E8F5E9"/>
          </w:tcPr>
          <w:p>
            <w:r>
              <w:rPr>
                <w:rFonts w:ascii="Inter" w:hAnsi="Inter"/>
                <w:sz w:val="20"/>
              </w:rPr>
            </w:r>
          </w:p>
        </w:tc>
        <w:tc>
          <w:tcPr>
            <w:tcW w:type="dxa" w:w="3135"/>
          </w:tcPr>
          <w:p>
            <w:r>
              <w:rPr>
                <w:rFonts w:ascii="Inter" w:hAnsi="Inter"/>
                <w:sz w:val="20"/>
              </w:rPr>
              <w:t>Enum / dropdown field</w:t>
            </w:r>
          </w:p>
        </w:tc>
        <w:tc>
          <w:tcPr>
            <w:tcW w:type="dxa" w:w="3135"/>
          </w:tcPr>
          <w:p>
            <w:r>
              <w:rPr>
                <w:rFonts w:ascii="Inter" w:hAnsi="Inter"/>
                <w:sz w:val="20"/>
              </w:rPr>
              <w:t>Select one of the provided options</w:t>
            </w:r>
          </w:p>
        </w:tc>
      </w:tr>
      <w:tr>
        <w:tc>
          <w:tcPr>
            <w:tcW w:type="dxa" w:w="3135"/>
            <w:shd w:fill="E3F2FD"/>
          </w:tcPr>
          <w:p>
            <w:r>
              <w:rPr>
                <w:rFonts w:ascii="Inter" w:hAnsi="Inter"/>
                <w:sz w:val="20"/>
              </w:rPr>
            </w:r>
          </w:p>
        </w:tc>
        <w:tc>
          <w:tcPr>
            <w:tcW w:type="dxa" w:w="3135"/>
          </w:tcPr>
          <w:p>
            <w:r>
              <w:rPr>
                <w:rFonts w:ascii="Inter" w:hAnsi="Inter"/>
                <w:sz w:val="20"/>
              </w:rPr>
              <w:t>Instructions / guidance</w:t>
            </w:r>
          </w:p>
        </w:tc>
        <w:tc>
          <w:tcPr>
            <w:tcW w:type="dxa" w:w="3135"/>
          </w:tcPr>
          <w:p>
            <w:r>
              <w:rPr>
                <w:rFonts w:ascii="Inter" w:hAnsi="Inter"/>
                <w:sz w:val="20"/>
              </w:rPr>
              <w:t>Read, then delete from final document</w:t>
            </w:r>
          </w:p>
        </w:tc>
      </w:tr>
      <w:tr>
        <w:tc>
          <w:tcPr>
            <w:tcW w:type="dxa" w:w="3135"/>
            <w:shd w:fill="F3E5F5"/>
          </w:tcPr>
          <w:p>
            <w:r>
              <w:rPr>
                <w:rFonts w:ascii="Inter" w:hAnsi="Inter"/>
                <w:sz w:val="20"/>
              </w:rPr>
            </w:r>
          </w:p>
        </w:tc>
        <w:tc>
          <w:tcPr>
            <w:tcW w:type="dxa" w:w="3135"/>
          </w:tcPr>
          <w:p>
            <w:r>
              <w:rPr>
                <w:rFonts w:ascii="Inter" w:hAnsi="Inter"/>
                <w:sz w:val="20"/>
              </w:rPr>
              <w:t>Example excerpt</w:t>
            </w:r>
          </w:p>
        </w:tc>
        <w:tc>
          <w:tcPr>
            <w:tcW w:type="dxa" w:w="3135"/>
          </w:tcPr>
          <w:p>
            <w:r>
              <w:rPr>
                <w:rFonts w:ascii="Inter" w:hAnsi="Inter"/>
                <w:sz w:val="20"/>
              </w:rPr>
              <w:t>Reference only — delete from final document</w:t>
            </w:r>
          </w:p>
        </w:tc>
      </w:tr>
    </w:tbl>
    <w:p>
      <w:r>
        <w:br w:type="page"/>
      </w:r>
    </w:p>
    <w:p>
      <w:pPr>
        <w:pStyle w:val="Heading1"/>
      </w:pPr>
      <w:r>
        <w:t>1. Contact &amp; Issuer Information</w:t>
      </w:r>
    </w:p>
    <w:p>
      <w:pPr>
        <w:shd w:val="clear" w:color="auto" w:fill="E3F2FD"/>
      </w:pPr>
      <w:r>
        <w:rPr>
          <w:i/>
          <w:color w:val="01579B"/>
          <w:sz w:val="20"/>
        </w:rPr>
        <w:t>ℹ️  Identify the business owner, team, and primary contact for this RFP. This appears on the cover or first page of the RFP.</w:t>
      </w:r>
    </w:p>
    <w:p>
      <w:pPr>
        <w:shd w:val="clear" w:color="auto" w:fill="FFF3E0"/>
      </w:pPr>
      <w:r>
        <w:rPr>
          <w:b/>
          <w:color w:val="1F2937"/>
          <w:sz w:val="22"/>
        </w:rPr>
        <w:t xml:space="preserve">Business Owner Name: </w:t>
      </w:r>
      <w:r>
        <w:rPr>
          <w:color w:val="DA365C"/>
          <w:sz w:val="22"/>
        </w:rPr>
      </w:r>
      <w:r>
        <w:rPr>
          <w:sz w:val="20"/>
        </w:rPr>
        <w:t>[CONTACT_BLOCK_REDACTED]</w:t>
        <w:br/>
        <w:t>As examples, some of the big business questions from the investment decision-makers are: Does a digital only strategy work to drive recommendations? Is OTC Expert as effective as Oral Health Expert? How much does digital drive recommendations and how does that compare to F2F</w:t>
      </w:r>
    </w:p>
    <w:p>
      <w:r>
        <w:rPr>
          <w:i/>
          <w:color w:val="6B7280"/>
          <w:sz w:val="18"/>
        </w:rPr>
        <w:t xml:space="preserve">  Example: Tessa Mallory | Shane West</w:t>
      </w:r>
    </w:p>
    <w:p>
      <w:pPr>
        <w:shd w:val="clear" w:color="auto" w:fill="FFF3E0"/>
      </w:pPr>
      <w:r>
        <w:rPr>
          <w:b/>
          <w:color w:val="1F2937"/>
          <w:sz w:val="22"/>
        </w:rPr>
        <w:t xml:space="preserve">Business Owner Title: </w:t>
      </w:r>
      <w:r>
        <w:rPr>
          <w:color w:val="DA365C"/>
          <w:sz w:val="22"/>
        </w:rPr>
      </w:r>
      <w:r>
        <w:rPr>
          <w:sz w:val="20"/>
        </w:rPr>
        <w:t>[CONTACT_BLOCK_REDACTED]</w:t>
        <w:br/>
        <w:t>As examples, some of the big business questions from the investment decision-makers are: Does a digital only strategy work to drive recommendations? Is OTC Expert as effective as Oral Health Expert? How much does digital drive recommendations and how does that compare to F2F</w:t>
      </w:r>
    </w:p>
    <w:p>
      <w:r>
        <w:rPr>
          <w:i/>
          <w:color w:val="6B7280"/>
          <w:sz w:val="18"/>
        </w:rPr>
        <w:t xml:space="preserve">  Example: Associate Director, Global Market Research | Global Business Analysis Manager</w:t>
      </w:r>
    </w:p>
    <w:p>
      <w:pPr>
        <w:shd w:val="clear" w:color="auto" w:fill="FFF3E0"/>
      </w:pPr>
      <w:r>
        <w:rPr>
          <w:b/>
          <w:color w:val="1F2937"/>
          <w:sz w:val="22"/>
        </w:rPr>
        <w:t xml:space="preserve">Organization / Company: </w:t>
      </w:r>
      <w:r>
        <w:rPr>
          <w:color w:val="DA365C"/>
          <w:sz w:val="22"/>
        </w:rPr>
      </w:r>
      <w:r>
        <w:rPr>
          <w:sz w:val="20"/>
        </w:rPr>
        <w:t>Our Expert-facing content is evolving rapidly, alongside the shift in channel dynamics, to move beyond only product innovation messages – although these remain vital to our success and our heritage as a science-based company. We can think of our content strategy in two ways:</w:t>
        <w:br/>
        <w:t>In terms of HCP needs: t</w:t>
      </w:r>
    </w:p>
    <w:p>
      <w:r>
        <w:rPr>
          <w:i/>
          <w:color w:val="6B7280"/>
          <w:sz w:val="18"/>
        </w:rPr>
        <w:t xml:space="preserve">  Example: Zephora | Meridian Health Systems</w:t>
      </w:r>
    </w:p>
    <w:p>
      <w:pPr>
        <w:shd w:val="clear" w:color="auto" w:fill="FFF3E0"/>
      </w:pPr>
      <w:r>
        <w:rPr>
          <w:b/>
          <w:color w:val="1F2937"/>
          <w:sz w:val="22"/>
        </w:rPr>
        <w:t xml:space="preserve">Division / Business Unit: </w:t>
      </w:r>
      <w:r>
        <w:rPr>
          <w:color w:val="DA365C"/>
          <w:sz w:val="22"/>
        </w:rPr>
      </w:r>
      <w:r>
        <w:rPr>
          <w:sz w:val="20"/>
        </w:rPr>
        <w:t>Nimble: allowing marketing teams to lean into opportunities, create more relevant messaging, and allocate resource more effectively and adapt more responsively</w:t>
        <w:br/>
        <w:t>Future-facing: allowing a move from very</w:t>
      </w:r>
    </w:p>
    <w:p>
      <w:r>
        <w:rPr>
          <w:i/>
          <w:color w:val="6B7280"/>
          <w:sz w:val="18"/>
        </w:rPr>
        <w:t xml:space="preserve">  Example: Companion Animal Team | Global Customer Insights | Consumer Healthcare</w:t>
      </w:r>
    </w:p>
    <w:p>
      <w:pPr>
        <w:shd w:val="clear" w:color="auto" w:fill="FFF3E0"/>
      </w:pPr>
      <w:r>
        <w:rPr>
          <w:b/>
          <w:color w:val="1F2937"/>
          <w:sz w:val="22"/>
        </w:rPr>
        <w:t xml:space="preserve">Address: </w:t>
      </w:r>
      <w:r>
        <w:rPr>
          <w:color w:val="DA365C"/>
          <w:sz w:val="22"/>
        </w:rPr>
      </w:r>
      <w:r>
        <w:rPr>
          <w:sz w:val="20"/>
        </w:rPr>
        <w:t>Simplification and focus to address current and future business need: allowing a clear line of sight between strategy and execution, with a focus on informing activation choices</w:t>
        <w:br/>
        <w:t>Cost-efficient: allowi</w:t>
      </w:r>
    </w:p>
    <w:p>
      <w:r>
        <w:rPr>
          <w:i/>
          <w:color w:val="6B7280"/>
          <w:sz w:val="18"/>
        </w:rPr>
        <w:t xml:space="preserve">  Example: 200 Innovation Way, 4th Floor, Princeton, NJ 08540</w:t>
      </w:r>
    </w:p>
    <w:p>
      <w:pPr>
        <w:shd w:val="clear" w:color="auto" w:fill="FFF3E0"/>
      </w:pPr>
      <w:r>
        <w:rPr>
          <w:b/>
          <w:color w:val="1F2937"/>
          <w:sz w:val="22"/>
        </w:rPr>
        <w:t xml:space="preserve">Email: </w:t>
      </w:r>
      <w:r>
        <w:rPr>
          <w:color w:val="DA365C"/>
          <w:sz w:val="22"/>
        </w:rPr>
      </w:r>
      <w:r>
        <w:rPr>
          <w:sz w:val="20"/>
        </w:rPr>
        <w:t>rfp.contact@client.com</w:t>
      </w:r>
    </w:p>
    <w:p>
      <w:r>
        <w:rPr>
          <w:i/>
          <w:color w:val="6B7280"/>
          <w:sz w:val="18"/>
        </w:rPr>
        <w:t xml:space="preserve">  Example: name@company.com</w:t>
      </w:r>
    </w:p>
    <w:p>
      <w:pPr>
        <w:shd w:val="clear" w:color="auto" w:fill="FFF3E0"/>
      </w:pPr>
      <w:r>
        <w:rPr>
          <w:b/>
          <w:color w:val="1F2937"/>
          <w:sz w:val="22"/>
        </w:rPr>
        <w:t xml:space="preserve">Phone: </w:t>
      </w:r>
      <w:r>
        <w:rPr>
          <w:color w:val="DA365C"/>
          <w:sz w:val="22"/>
        </w:rPr>
      </w:r>
      <w:r>
        <w:rPr>
          <w:sz w:val="20"/>
        </w:rPr>
        <w:t xml:space="preserve">The basis of this RFP is to re-invent our Expert Performance Tracking program for [CLIENT_ORG] Consumer Healthcare for the years [PHONE] (inclusive). We are open to being challenged on our choices in </w:t>
      </w:r>
    </w:p>
    <w:p>
      <w:r>
        <w:rPr>
          <w:i/>
          <w:color w:val="6B7280"/>
          <w:sz w:val="18"/>
        </w:rPr>
        <w:t xml:space="preserve">  Example: +1-XXX-XXX-XXXX</w:t>
      </w:r>
    </w:p>
    <w:p/>
    <w:p>
      <w:pPr>
        <w:shd w:val="clear" w:color="auto" w:fill="FFF3E0"/>
      </w:pPr>
      <w:r>
        <w:rPr>
          <w:b/>
          <w:color w:val="1F2937"/>
          <w:sz w:val="22"/>
        </w:rPr>
        <w:t xml:space="preserve">Other Stakeholders: </w:t>
      </w:r>
      <w:r>
        <w:rPr>
          <w:color w:val="DA365C"/>
          <w:sz w:val="22"/>
        </w:rPr>
      </w:r>
      <w:r>
        <w:rPr>
          <w:sz w:val="20"/>
        </w:rPr>
        <w:t>[CONTACT_BLOCK_REDACTED]</w:t>
        <w:br/>
        <w:t>As examples, some of the big business questions from the investment decision-makers are: Does a digital only strategy work to drive recommendations? Is OTC Expert as effective as Oral Health Expert? How much does digital drive recommendations and how does that compare to F2F? How much does each channel drive recommendations? We expect the tracker to aid our understanding of these topics (e.g. through having a consistent/ comparable approach between Oral Health and OTC tr</w:t>
      </w:r>
    </w:p>
    <w:p>
      <w:r>
        <w:rPr>
          <w:i/>
          <w:color w:val="6B7280"/>
          <w:sz w:val="18"/>
        </w:rPr>
        <w:t xml:space="preserve">  Example: Regional &amp; National Account Leadership</w:t>
      </w:r>
    </w:p>
    <w:p>
      <w:pPr>
        <w:shd w:val="clear" w:color="auto" w:fill="F3E5F5"/>
      </w:pPr>
      <w:r>
        <w:rPr>
          <w:i/>
          <w:color w:val="6B7280"/>
          <w:sz w:val="18"/>
        </w:rPr>
        <w:t>EXAMPLE (from RFP-A11): "Business Owner: Market Access Marketing | Other Stakeholders to be involved: Regional &amp; National Account Leadership"</w:t>
      </w:r>
    </w:p>
    <w:p>
      <w:r>
        <w:br w:type="page"/>
      </w:r>
    </w:p>
    <w:p>
      <w:pPr>
        <w:pStyle w:val="Heading1"/>
      </w:pPr>
      <w:r>
        <w:t>2. Introduction &amp; Company Overview</w:t>
      </w:r>
    </w:p>
    <w:p>
      <w:pPr>
        <w:shd w:val="clear" w:color="auto" w:fill="E3F2FD"/>
      </w:pPr>
      <w:r>
        <w:rPr>
          <w:i/>
          <w:color w:val="01579B"/>
          <w:sz w:val="20"/>
        </w:rPr>
        <w:t>ℹ️  Optional section. Include a brief overview of the issuing organization if the RFP is going to external vendors who may not know the company. Delete this section for internal-only RFPs.</w:t>
      </w:r>
    </w:p>
    <w:p>
      <w:pPr>
        <w:shd w:val="clear" w:color="auto" w:fill="FFF3E0"/>
      </w:pPr>
      <w:r>
        <w:rPr>
          <w:b/>
          <w:color w:val="1F2937"/>
          <w:sz w:val="22"/>
        </w:rPr>
        <w:t xml:space="preserve">Company Description: </w:t>
      </w:r>
      <w:r>
        <w:rPr>
          <w:color w:val="DA365C"/>
          <w:sz w:val="22"/>
        </w:rPr>
      </w:r>
      <w:r>
        <w:rPr>
          <w:sz w:val="20"/>
        </w:rPr>
        <w:t>Our Expert-facing content is evolving rapidly, alongside the shift in channel dynamics, to move beyond only product innovation messages – although these remain vital to our success and our heritage as a science-based company. We can think of our content strategy in two ways:</w:t>
        <w:br/>
        <w:t>In terms of HCP needs: the HCP as a skilled clinician who wants to learn more to hone their craft (e.g. providing thought pieces or guidelines in partnership with KEEs or associations/ providing training to pharmacy staff/ ensuring we have great medical schools content); the HCP in relation to patient care, who wants to be informed and prepared to engage effectively with patients and improve their health outcomes; and the HCP as a businessperson.</w:t>
        <w:br/>
        <w:t>In terms of condition/ category/ brand opportunities within our therapeutic condition areas: providing content at either a condition/ indication level (e.g. how to change behaviour through patient interactions in respiratory conditions; why diagnosing sensitivity improves quality of life); at a category level (e.g. why a specialist gum toothpaste recommendation matters for better gum health) and at a brand level (innovation or brand science).</w:t>
        <w:br/>
        <w:t>We are innovating in this space by driving more editorial content on our portal, experimenting with social &amp; programmatic, balancing messaging across channels and ensuring we have a clear media + content ecosystem approach for each campaign that is launched. This is one area where we are embracing a test &amp; learn approach – using digital analytics to inform our understanding, but critically: with currently no information about whether this content is driving a change in recommendation behaviour.</w:t>
        <w:br/>
        <w:t>Some of the challenges we face with measuring content impact:</w:t>
        <w:br/>
        <w:t>Markets will run multiple brand campaigns simultaneously to one HCP audience. E.g. in Oral Health, we show up to an HCP as a portfolio of products – and this is true in the omnichannel world too.</w:t>
        <w:br/>
        <w:t>Balance between [CLIENT_ORG] content and brand content: we also publish [CLIENT_ORG] CH-level (enterprise) content. In many markets, HCPs are not very familiar with the connection between [CLIENT_ORG] and the brands; while in others/ other audiences, they struggle to separate our CH portfolio from [CLIENT_ORG] Pharma. This means we share &amp; borrow equity associations – but we need to establish our own equity for the future.</w:t>
        <w:br/>
        <w:t>Conversion: (Trial / Penetration)</w:t>
        <w:br/>
        <w:t>Traditionally, conversion was only a measurement focus for our OH category, where we use sampling &amp; leaflet</w:t>
      </w:r>
    </w:p>
    <w:p>
      <w:r>
        <w:rPr>
          <w:i/>
          <w:color w:val="6B7280"/>
          <w:sz w:val="18"/>
        </w:rPr>
        <w:t xml:space="preserve">  Example: [CLIENT_ORG] is a global healthcare company focused on patient needs...</w:t>
      </w:r>
    </w:p>
    <w:p/>
    <w:p>
      <w:r>
        <w:rPr>
          <w:b/>
        </w:rPr>
        <w:t>Key Facts (optional):</w:t>
      </w:r>
    </w:p>
    <w:p>
      <w:pPr>
        <w:shd w:val="clear" w:color="auto" w:fill="FFF3E0"/>
      </w:pPr>
      <w:r>
        <w:rPr>
          <w:b/>
          <w:color w:val="1F2937"/>
          <w:sz w:val="22"/>
        </w:rPr>
        <w:t xml:space="preserve">Annual Revenue / Size: </w:t>
      </w:r>
      <w:r>
        <w:rPr>
          <w:color w:val="DA365C"/>
          <w:sz w:val="22"/>
        </w:rPr>
      </w:r>
      <w:r>
        <w:rPr>
          <w:sz w:val="20"/>
        </w:rPr>
        <w:t>Salesforce effectiveness</w:t>
        <w:br/>
        <w:t>Claims support for Oral Health (legal support; written into subsequent MSA)</w:t>
        <w:br/>
        <w:t>Drivers of recommendation:</w:t>
      </w:r>
    </w:p>
    <w:p>
      <w:r>
        <w:rPr>
          <w:i/>
          <w:color w:val="6B7280"/>
          <w:sz w:val="18"/>
        </w:rPr>
        <w:t xml:space="preserve">  Example: €37 billion net sales</w:t>
      </w:r>
    </w:p>
    <w:p>
      <w:pPr>
        <w:shd w:val="clear" w:color="auto" w:fill="FFF3E0"/>
      </w:pPr>
      <w:r>
        <w:rPr>
          <w:b/>
          <w:color w:val="1F2937"/>
          <w:sz w:val="22"/>
        </w:rPr>
        <w:t xml:space="preserve">Global Presence: </w:t>
      </w:r>
      <w:r>
        <w:rPr>
          <w:color w:val="DA365C"/>
          <w:sz w:val="22"/>
        </w:rPr>
      </w:r>
      <w:r>
        <w:rPr>
          <w:sz w:val="20"/>
        </w:rPr>
        <w:t>To measure whether we are the most recommended and the most trusted, we currently run a global Expert Performance Tracking program.</w:t>
        <w:br/>
        <w:t>An assessment of the current program positives and “better if's” is available in Appendix 2.</w:t>
        <w:br/>
        <w:t>In consumer marketing, it is relatively straightforward to measure performa</w:t>
      </w:r>
    </w:p>
    <w:p>
      <w:r>
        <w:rPr>
          <w:i/>
          <w:color w:val="6B7280"/>
          <w:sz w:val="18"/>
        </w:rPr>
        <w:t xml:space="preserve">  Example: 110,000+ associates in over 100 countries</w:t>
      </w:r>
    </w:p>
    <w:p>
      <w:pPr>
        <w:shd w:val="clear" w:color="auto" w:fill="FFF3E0"/>
      </w:pPr>
      <w:r>
        <w:rPr>
          <w:b/>
          <w:color w:val="1F2937"/>
          <w:sz w:val="22"/>
        </w:rPr>
        <w:t xml:space="preserve">Business Units / Divisions: </w:t>
      </w:r>
      <w:r>
        <w:rPr>
          <w:color w:val="DA365C"/>
          <w:sz w:val="22"/>
        </w:rPr>
      </w:r>
      <w:r>
        <w:rPr>
          <w:sz w:val="20"/>
        </w:rPr>
        <w:t>Nimble: allowing marketing teams to lean into opportunities, create more relevant messaging, and allocate resource more effectively and adapt more responsively</w:t>
        <w:br/>
        <w:t>Future-facing: allowing a move from very</w:t>
      </w:r>
    </w:p>
    <w:p>
      <w:r>
        <w:rPr>
          <w:i/>
          <w:color w:val="6B7280"/>
          <w:sz w:val="18"/>
        </w:rPr>
        <w:t xml:space="preserve">  Example: Diabetes &amp; Cardiovascular, General Medicines, Genzyme, Pasteur, Consumer Healthcare, Merial</w:t>
      </w:r>
    </w:p>
    <w:p>
      <w:pPr>
        <w:shd w:val="clear" w:color="auto" w:fill="F3E5F5"/>
      </w:pPr>
      <w:r>
        <w:rPr>
          <w:i/>
          <w:color w:val="6B7280"/>
          <w:sz w:val="18"/>
        </w:rPr>
        <w:t>EXAMPLE (from RFP-A13): "[CLIENT_ORG] is a global healthcare company focused on patient needs. Our business includes a diversified offering of branded and generic prescription pharmaceuticals, vaccines, consumer healthcare and animal health. Key facts: Net sales €37 billion, 110,000+ associates in over 100 countries."</w:t>
      </w:r>
    </w:p>
    <w:p>
      <w:r>
        <w:br w:type="page"/>
      </w:r>
    </w:p>
    <w:p>
      <w:pPr>
        <w:pStyle w:val="Heading1"/>
      </w:pPr>
      <w:r>
        <w:t>3. Confidentiality &amp; Legal Terms</w:t>
      </w:r>
    </w:p>
    <w:p>
      <w:pPr>
        <w:shd w:val="clear" w:color="auto" w:fill="E3F2FD"/>
      </w:pPr>
      <w:r>
        <w:rPr>
          <w:i/>
          <w:color w:val="01579B"/>
          <w:sz w:val="20"/>
        </w:rPr>
        <w:t>ℹ️  Include confidentiality notice and any legal/compliance terms. Select which clauses apply to your RFP. Heavy compliance RFPs (like RFP-A13) include SOX, subcontractor, and publicity clauses.</w:t>
      </w:r>
    </w:p>
    <w:p>
      <w:r>
        <w:rPr>
          <w:b/>
        </w:rPr>
        <w:t>3.1 Confidentiality Notice</w:t>
      </w:r>
    </w:p>
    <w:p>
      <w:pPr>
        <w:shd w:val="clear" w:color="auto" w:fill="FFF3E0"/>
      </w:pPr>
      <w:r>
        <w:rPr>
          <w:color w:val="DA365C"/>
        </w:rPr>
      </w:r>
      <w:r>
        <w:rPr>
          <w:sz w:val="20"/>
        </w:rPr>
        <w:t>Claims support for Oral Health (legal support; written into subsequent MSA)</w:t>
        <w:br/>
        <w:t>Drivers of recommendation:</w:t>
        <w:br/>
        <w:t>brand equity</w:t>
        <w:br/>
        <w:t>channel/ content attribution to reco behaviour</w:t>
        <w:br/>
        <w:t>Data &amp; reporting provision</w:t>
        <w:br/>
        <w:t>Brand-audience-market matrix outlining audiences, categories and markets to track – prioritised and tiered</w:t>
        <w:br/>
        <w:t>Project management requirements &amp; resourcing</w:t>
        <w:br/>
        <w:t>Discovery phase (validation/ parallel) projects early Q1 [YEAR]</w:t>
        <w:br/>
        <w:t>Contract length: 3 year contract term for the program</w:t>
        <w:br/>
        <w:t>Please do:</w:t>
      </w:r>
    </w:p>
    <w:p>
      <w:pPr/>
      <w:r>
        <w:rPr>
          <w:color w:val="4B5563"/>
          <w:sz w:val="20"/>
        </w:rPr>
        <w:t>The information contained in this Request for Proposal (RFP), together with its schedules and appendices, any information, document, file, and/or deliverable shared during the RFP process is strictly confidential. Bidders must not disclose, reproduce, or use for any purpose other than responding to this RFP.</w:t>
      </w:r>
    </w:p>
    <w:p/>
    <w:p>
      <w:r>
        <w:rPr>
          <w:b/>
        </w:rPr>
        <w:t>3.2 Applicable Legal Clauses</w:t>
      </w:r>
    </w:p>
    <w:p>
      <w:pPr>
        <w:shd w:val="clear" w:color="auto" w:fill="E3F2FD"/>
      </w:pPr>
      <w:r>
        <w:rPr>
          <w:i/>
          <w:color w:val="01579B"/>
          <w:sz w:val="20"/>
        </w:rPr>
        <w:t>ℹ️  Select all that apply. Delete rows that do not apply.</w:t>
      </w:r>
    </w:p>
    <w:p>
      <w:pPr>
        <w:shd w:val="clear" w:color="auto" w:fill="E8F5E9"/>
      </w:pPr>
      <w:r>
        <w:rPr>
          <w:sz w:val="20"/>
        </w:rPr>
        <w:t>☐  Publicity restrictions</w:t>
      </w:r>
    </w:p>
    <w:p>
      <w:pPr>
        <w:shd w:val="clear" w:color="auto" w:fill="E8F5E9"/>
      </w:pPr>
      <w:r>
        <w:rPr>
          <w:sz w:val="20"/>
        </w:rPr>
        <w:t>☐  Use of subcontractors disclosure</w:t>
      </w:r>
    </w:p>
    <w:p>
      <w:pPr>
        <w:shd w:val="clear" w:color="auto" w:fill="E8F5E9"/>
      </w:pPr>
      <w:r>
        <w:rPr>
          <w:sz w:val="20"/>
        </w:rPr>
        <w:t>☐  Incurred costs responsibility</w:t>
      </w:r>
    </w:p>
    <w:p>
      <w:pPr>
        <w:shd w:val="clear" w:color="auto" w:fill="E8F5E9"/>
      </w:pPr>
      <w:r>
        <w:rPr>
          <w:sz w:val="20"/>
        </w:rPr>
        <w:t>☐  No liability disclaimer</w:t>
      </w:r>
    </w:p>
    <w:p>
      <w:pPr>
        <w:shd w:val="clear" w:color="auto" w:fill="E8F5E9"/>
      </w:pPr>
      <w:r>
        <w:rPr>
          <w:sz w:val="20"/>
        </w:rPr>
        <w:t>☐  Sarbanes-Oxley (SOX) compliance</w:t>
      </w:r>
    </w:p>
    <w:p>
      <w:pPr>
        <w:shd w:val="clear" w:color="auto" w:fill="E8F5E9"/>
      </w:pPr>
      <w:r>
        <w:rPr>
          <w:sz w:val="20"/>
        </w:rPr>
        <w:t>☐  Adverse event reporting obligations</w:t>
      </w:r>
    </w:p>
    <w:p>
      <w:pPr>
        <w:shd w:val="clear" w:color="auto" w:fill="E8F5E9"/>
      </w:pPr>
      <w:r>
        <w:rPr>
          <w:sz w:val="20"/>
        </w:rPr>
        <w:t>☐  CASRO / ESOMAR / BHBIA compliance</w:t>
      </w:r>
    </w:p>
    <w:p>
      <w:pPr>
        <w:shd w:val="clear" w:color="auto" w:fill="E8F5E9"/>
      </w:pPr>
      <w:r>
        <w:rPr>
          <w:sz w:val="20"/>
        </w:rPr>
        <w:t>☐  Master Services Agreement (MSA) reference</w:t>
      </w:r>
    </w:p>
    <w:p>
      <w:pPr>
        <w:shd w:val="clear" w:color="auto" w:fill="E8F5E9"/>
      </w:pPr>
      <w:r>
        <w:rPr>
          <w:sz w:val="20"/>
        </w:rPr>
        <w:t>☐  Pharmacovigilance (PV) obligations</w:t>
      </w:r>
    </w:p>
    <w:p>
      <w:pPr>
        <w:shd w:val="clear" w:color="auto" w:fill="E8F5E9"/>
      </w:pPr>
      <w:r>
        <w:rPr>
          <w:sz w:val="20"/>
        </w:rPr>
        <w:t>☐  Corporate Social Responsibility (CSR) questionnaire</w:t>
      </w:r>
    </w:p>
    <w:p>
      <w:pPr>
        <w:shd w:val="clear" w:color="auto" w:fill="F3E5F5"/>
      </w:pPr>
      <w:r>
        <w:rPr>
          <w:i/>
          <w:color w:val="6B7280"/>
          <w:sz w:val="18"/>
        </w:rPr>
        <w:t>EXAMPLE (from RFP-A13): Includes SOX, publicity, subcontractor, incurred costs, no liability clauses. Also requires PV obligations response and CSR questionnaire. | EXAMPLE (from RFP-A8): Includes BHBIA compliance, adverse event reporting, and data privacy requirements.</w:t>
      </w:r>
    </w:p>
    <w:p>
      <w:r>
        <w:br w:type="page"/>
      </w:r>
    </w:p>
    <w:p>
      <w:pPr>
        <w:pStyle w:val="Heading1"/>
      </w:pPr>
      <w:r>
        <w:t>4. Project Background &amp; Context</w:t>
      </w:r>
    </w:p>
    <w:p>
      <w:pPr>
        <w:shd w:val="clear" w:color="auto" w:fill="E3F2FD"/>
      </w:pPr>
      <w:r>
        <w:rPr>
          <w:i/>
          <w:color w:val="01579B"/>
          <w:sz w:val="20"/>
        </w:rPr>
        <w:t>ℹ️  Provide the business context that motivates this research. Explain the therapeutic area, product lifecycle stage, market dynamics, or business challenge. This is the 'why' behind the RFP.</w:t>
      </w:r>
    </w:p>
    <w:p>
      <w:pPr>
        <w:shd w:val="clear" w:color="auto" w:fill="E8F5E9"/>
      </w:pPr>
      <w:r>
        <w:rPr>
          <w:b/>
          <w:color w:val="1F2937"/>
          <w:sz w:val="22"/>
        </w:rPr>
        <w:t xml:space="preserve">Therapeutic Area / Category: </w:t>
      </w:r>
      <w:r>
        <w:rPr>
          <w:color w:val="2E7D32"/>
          <w:sz w:val="22"/>
        </w:rPr>
      </w:r>
      <w:r>
        <w:rPr>
          <w:sz w:val="20"/>
        </w:rPr>
        <w:t>In terms of condition/ category/ brand opportunities within our therapeutic condition areas: providing content at either a condition/ indication level (e.g. how to change behaviour through patient interactions in respiratory conditions; why diagnosing sensitivity improves quality of life); at a cate</w:t>
      </w:r>
    </w:p>
    <w:p>
      <w:pPr>
        <w:shd w:val="clear" w:color="auto" w:fill="E8F5E9"/>
      </w:pPr>
      <w:r>
        <w:rPr>
          <w:b/>
          <w:color w:val="1F2937"/>
          <w:sz w:val="22"/>
        </w:rPr>
        <w:t xml:space="preserve">Product Lifecycle Stage: </w:t>
      </w:r>
      <w:r>
        <w:rPr>
          <w:color w:val="2E7D32"/>
          <w:sz w:val="22"/>
        </w:rPr>
      </w:r>
      <w:r>
        <w:rPr>
          <w:sz w:val="20"/>
        </w:rPr>
        <w:t>We are innovating in this space by driving more editorial content on our portal, experimenting with social &amp; programmatic, balancing messaging across channels and ensuring we have a clear media + cont</w:t>
      </w:r>
    </w:p>
    <w:p>
      <w:pPr>
        <w:shd w:val="clear" w:color="auto" w:fill="FFF3E0"/>
      </w:pPr>
      <w:r>
        <w:rPr>
          <w:b/>
          <w:color w:val="1F2937"/>
          <w:sz w:val="22"/>
        </w:rPr>
        <w:t xml:space="preserve">Brand / Product Name(s): </w:t>
      </w:r>
      <w:r>
        <w:rPr>
          <w:color w:val="DA365C"/>
          <w:sz w:val="22"/>
        </w:rPr>
      </w:r>
      <w:r>
        <w:rPr>
          <w:sz w:val="20"/>
        </w:rPr>
        <w:t>brand equity</w:t>
        <w:br/>
        <w:t>channel/ content attribution to reco behaviour</w:t>
        <w:br/>
        <w:t>Data &amp; reporting provision</w:t>
      </w:r>
    </w:p>
    <w:p>
      <w:r>
        <w:rPr>
          <w:i/>
          <w:color w:val="6B7280"/>
          <w:sz w:val="18"/>
        </w:rPr>
        <w:t xml:space="preserve">  Example: [BRAND_A], [BRAND_B] — e.g., Apoquel, Cosentyx</w:t>
      </w:r>
    </w:p>
    <w:p>
      <w:pPr>
        <w:shd w:val="clear" w:color="auto" w:fill="FFF3E0"/>
      </w:pPr>
      <w:r>
        <w:rPr>
          <w:color w:val="DA365C"/>
          <w:sz w:val="22"/>
        </w:rPr>
      </w:r>
      <w:r>
        <w:rPr>
          <w:sz w:val="20"/>
        </w:rPr>
        <w:t>TIMELINE</w:t>
        <w:tab/>
        <w:t>3</w:t>
        <w:br/>
        <w:t>BACKGROUND: [CLIENT_ORG] CH Expert Strategy</w:t>
        <w:tab/>
        <w:t>4</w:t>
      </w:r>
    </w:p>
    <w:p>
      <w:pPr>
        <w:shd w:val="clear" w:color="auto" w:fill="F3E5F5"/>
      </w:pPr>
      <w:r>
        <w:rPr>
          <w:i/>
          <w:color w:val="6B7280"/>
          <w:sz w:val="18"/>
        </w:rPr>
        <w:t>EXAMPLE (from RFP-A10): "In [DATE], Zephora launched a novel drug, [BRAND_A], indicated for the control of pruritus associated with allergic dermatitis. Demand for [BRAND_A] far exceeded supply and within a few weeks after launch the product was only available to select customers under a controlled distribution program." | EXAMPLE (from RFP-A11): "[BRAND_A] is the first biologic targeting IL-17A, a key cytokine in PsO/PsA/AS pathogenesis. Thus it is the first alternative to Anti-TNFs... [BRAND_A] operates across a competitive market for three indications, with traditional dominant players."</w:t>
      </w:r>
    </w:p>
    <w:p>
      <w:r>
        <w:br w:type="page"/>
      </w:r>
    </w:p>
    <w:p>
      <w:pPr>
        <w:pStyle w:val="Heading1"/>
      </w:pPr>
      <w:r>
        <w:t>5. Business &amp; Research Objectives</w:t>
      </w:r>
    </w:p>
    <w:p>
      <w:r>
        <w:rPr>
          <w:b/>
        </w:rPr>
        <w:t>5.1 Business Objectives</w:t>
      </w:r>
    </w:p>
    <w:p>
      <w:pPr>
        <w:shd w:val="clear" w:color="auto" w:fill="E3F2FD"/>
      </w:pPr>
      <w:r>
        <w:rPr>
          <w:i/>
          <w:color w:val="01579B"/>
          <w:sz w:val="20"/>
        </w:rPr>
        <w:t>ℹ️  State the high-level business decisions this research will inform. These are the 'so what' — what will the business DO with the findings?</w:t>
      </w:r>
    </w:p>
    <w:p>
      <w:pPr>
        <w:shd w:val="clear" w:color="auto" w:fill="FFF3E0"/>
      </w:pPr>
      <w:r>
        <w:rPr>
          <w:color w:val="DA365C"/>
        </w:rPr>
      </w:r>
      <w:r>
        <w:rPr>
          <w:sz w:val="20"/>
        </w:rPr>
        <w:t>Primary objective: measure the recommendation behaviour generated by our expert programme, by brand + category, among a broad HCP audience type e.g. what is the recommendation behaviour of dentists for sensitivity toothpaste and for Dentiguard – and changes over time relative to competition. 3 KPIs: Average Weekly Recommendations (AWR), Share of Recommendations (SoR – category share); Brand Recommended Most Often (BRMO).</w:t>
        <w:br/>
        <w:t xml:space="preserve">Secondary objective: measure the recommendation behaviour generated by our </w:t>
      </w:r>
    </w:p>
    <w:p>
      <w:pPr>
        <w:shd w:val="clear" w:color="auto" w:fill="FFF3E0"/>
      </w:pPr>
      <w:r>
        <w:rPr>
          <w:color w:val="DA365C"/>
        </w:rPr>
      </w:r>
      <w:r>
        <w:rPr>
          <w:sz w:val="20"/>
        </w:rPr>
        <w:t>Secondary objective: measure the recommendation behaviour generated by our expert initiatives/ programmes among a sub-sample of an HCP audience type, enabling us to identify high-level program success based on reco KPI comparisons between groups. E.g. remote detailing – what is the reco behaviour among those reached via this channel, compared to those not reached and/or those reached via other channels/ combinations. Other examples: Expert portal – for those who have experienced the [CLIENT_ORG] Health Partner portal, does their recommendation behaviour differ to non-exposed/ exposed to other channel mixes.</w:t>
        <w:br/>
        <w:t>This is a simple form of “attribution” or drivers of recommendation understanding by channel, achieved through sampling design and comparison across sample groups. It would allow us to start identifying efficiencies and effectiveness by comparing groups/ channel performance. Another option is detailed in the Drivers of KPIs section, which is based more on questioning and/ or ‘audit’ approach. Both approaches have merits and drawbacks.</w:t>
        <w:br/>
        <w:t>Detail your approach to asking about recommendation behaviour to cover the 3 KPIs</w:t>
        <w:br/>
        <w:t>Comment on the feasibility or pros &amp; cons of using sample design for the reco KPIs to assess performance across groups, versus the Drivers of Recos module approach.</w:t>
        <w:br/>
        <w:t>Sample or draft questionnaire flows would be welcome. Also provide any evidence of previous experience in this area, and whether these measures or flow are validated by experience or research-on-research.</w:t>
        <w:br/>
        <w:t>(2) Core Measures: Trust</w:t>
        <w:br/>
        <w:t>We know that building trust with HCPs at both a brand and enterprise ([CLIENT_ORG] Consumer Health) level drives greater recommendation of our brands – therefore “trust” is a key pillar with which [CLIENT_ORG] CH and our brands should be measured.</w:t>
        <w:br/>
        <w:t>Objective: Track trust from an HCP perspective at both a brand + [CLIENT_ORG] CH (enterprise) level and – if possible based on our need for cost efficiency – draw a link between the relative strength of each, recommendation behaviour and attribution to Expert initiatives. We want to move beyond a very 1-dimensional approach to understanding trust (e.g. “do you trust [CLIENT_ORG]” / “xx is a trusted brand” or NPS): we are asking HCPs to trust us to deliver various things – product quality/ product efficacy being just one aspect of that. Please present your ideas around how you feel trust can be measured among HCPs in a B2B setting. We require fresh thinking to find the most robust and efficient way of tracking th</w:t>
      </w:r>
    </w:p>
    <w:p>
      <w:pPr>
        <w:shd w:val="clear" w:color="auto" w:fill="F3E5F5"/>
      </w:pPr>
      <w:r>
        <w:rPr>
          <w:i/>
          <w:color w:val="6B7280"/>
          <w:sz w:val="18"/>
        </w:rPr>
        <w:t>EXAMPLE (from RFP-A10): "The main objective is to understand the purchasing behavior and usage of [BRAND_A] without supply constraints to validate forecasting and purchasing assumptions." | EXAMPLE (from RFP-A1): "Continually optimise the efficiency and effectiveness of our Expert-facing brand and enterprise programs, to drive more advocacy (recommendation) of and trust in, our brands."</w:t>
      </w:r>
    </w:p>
    <w:p/>
    <w:p>
      <w:r>
        <w:rPr>
          <w:b/>
        </w:rPr>
        <w:t>5.2 Research Objectives</w:t>
      </w:r>
    </w:p>
    <w:p>
      <w:pPr>
        <w:shd w:val="clear" w:color="auto" w:fill="E3F2FD"/>
      </w:pPr>
      <w:r>
        <w:rPr>
          <w:i/>
          <w:color w:val="01579B"/>
          <w:sz w:val="20"/>
        </w:rPr>
        <w:t>ℹ️  List specific, measurable research questions this study must answer. Be precise — these become the yardstick for evaluating vendor proposals.</w:t>
      </w:r>
    </w:p>
    <w:p>
      <w:pPr>
        <w:shd w:val="clear" w:color="auto" w:fill="FFF3E0"/>
      </w:pPr>
      <w:r>
        <w:rPr>
          <w:color w:val="DA365C"/>
        </w:rPr>
      </w:r>
      <w:r>
        <w:rPr>
          <w:sz w:val="20"/>
        </w:rPr>
        <w:t>1.3 Tracking Modules</w:t>
        <w:tab/>
        <w:t>8</w:t>
        <w:br/>
        <w:t>1.4 detailed objectives for each module</w:t>
        <w:tab/>
        <w:t>10</w:t>
        <w:br/>
        <w:t>1.5</w:t>
        <w:tab/>
        <w:t>Key Methodological &amp; Sample Considerations</w:t>
        <w:tab/>
        <w:t>14</w:t>
      </w:r>
    </w:p>
    <w:p>
      <w:pPr>
        <w:shd w:val="clear" w:color="auto" w:fill="F3E5F5"/>
      </w:pPr>
      <w:r>
        <w:rPr>
          <w:i/>
          <w:color w:val="6B7280"/>
          <w:sz w:val="18"/>
        </w:rPr>
        <w:t>EXAMPLE (from RFP-A10): "• Understand and analyze order amounts and reorder rate (test vs. control at clinic level) • Conduct diary study with veterinarians to understand usage • Key factors: Species, Weight, First time/acute/seasonal/chronic, Diagnosis, Length of prescription, Concomitant therapy • Analyze retail sales information to monitor inventory vs. sales" | EXAMPLE (from RFP-A13): "• Quantify the size of the opportunity among Physicians based on the base case TPP concept • Qualify the strength of the TPP concept based on key measures predictive of in-market performance • Profile likely prescribers based on various physician segments"</w:t>
      </w:r>
    </w:p>
    <w:p>
      <w:r>
        <w:br w:type="page"/>
      </w:r>
    </w:p>
    <w:p>
      <w:pPr>
        <w:pStyle w:val="Heading1"/>
      </w:pPr>
      <w:r>
        <w:t>6. Methodology &amp; Scope</w:t>
      </w:r>
    </w:p>
    <w:p>
      <w:r>
        <w:rPr>
          <w:b/>
        </w:rPr>
        <w:t>6.1 Research Type</w:t>
      </w:r>
    </w:p>
    <w:p>
      <w:pPr>
        <w:shd w:val="clear" w:color="auto" w:fill="E8F5E9"/>
      </w:pPr>
      <w:r>
        <w:rPr>
          <w:b/>
          <w:color w:val="1F2937"/>
          <w:sz w:val="22"/>
        </w:rPr>
        <w:t xml:space="preserve">Primary Methodology: </w:t>
      </w:r>
      <w:r>
        <w:rPr>
          <w:color w:val="2E7D32"/>
          <w:sz w:val="22"/>
        </w:rPr>
      </w:r>
      <w:r>
        <w:rPr>
          <w:sz w:val="20"/>
        </w:rPr>
        <w:t>Critical: Vendors are not expected to respond to all elements of the program if an element/s is outside their core research or data competencies. [CLIENT_ORG] reserves the right to award different elements of the EPT study to different agency partners, should this provide us with a clear advantage i</w:t>
      </w:r>
    </w:p>
    <w:p>
      <w:pPr>
        <w:shd w:val="clear" w:color="auto" w:fill="FFF3E0"/>
      </w:pPr>
      <w:r>
        <w:rPr>
          <w:b/>
          <w:color w:val="1F2937"/>
          <w:sz w:val="22"/>
        </w:rPr>
        <w:t xml:space="preserve">Secondary / Supplementary Methods: </w:t>
      </w:r>
      <w:r>
        <w:rPr>
          <w:color w:val="DA365C"/>
          <w:sz w:val="22"/>
        </w:rPr>
      </w:r>
      <w:r>
        <w:rPr>
          <w:sz w:val="20"/>
        </w:rPr>
        <w:t>SECONDARY: Measure the effect of (each) [CLIENT_ORG] CH expert initiatives on trust in [CLIENT_ORG] CH and the brands. Identify what is driving the recommendation behaviour and trust perception.</w:t>
        <w:br/>
        <w:t>This knowledge will allow us to optimise the sizeable investment in Expert, in a more agile way, creating more impact on business growth, more quickly.</w:t>
        <w:br/>
        <w:t>The business questions the tracking solution should always return to are:</w:t>
      </w:r>
    </w:p>
    <w:p>
      <w:r>
        <w:rPr>
          <w:i/>
          <w:color w:val="6B7280"/>
          <w:sz w:val="18"/>
        </w:rPr>
        <w:t xml:space="preserve">  Example: e.g., Shop-along, Online Communities, Social Listening</w:t>
      </w:r>
    </w:p>
    <w:p/>
    <w:p>
      <w:r>
        <w:rPr>
          <w:b/>
        </w:rPr>
        <w:t>6.2 Detailed Methodology Description</w:t>
      </w:r>
    </w:p>
    <w:p>
      <w:pPr>
        <w:shd w:val="clear" w:color="auto" w:fill="E3F2FD"/>
      </w:pPr>
      <w:r>
        <w:rPr>
          <w:i/>
          <w:color w:val="01579B"/>
          <w:sz w:val="20"/>
        </w:rPr>
        <w:t>ℹ️  Describe the proposed methodology in detail, or indicate that the vendor should propose their approach. For complex studies, break into research stages.</w:t>
      </w:r>
    </w:p>
    <w:p>
      <w:pPr>
        <w:shd w:val="clear" w:color="auto" w:fill="FFF3E0"/>
      </w:pPr>
      <w:r>
        <w:rPr>
          <w:color w:val="DA365C"/>
        </w:rPr>
      </w:r>
      <w:r>
        <w:rPr>
          <w:sz w:val="20"/>
        </w:rPr>
        <w:t>1.5</w:t>
        <w:tab/>
        <w:t>Key Methodological &amp; Sample Considerations</w:t>
        <w:tab/>
        <w:t>14</w:t>
      </w:r>
    </w:p>
    <w:p>
      <w:pPr>
        <w:shd w:val="clear" w:color="auto" w:fill="F3E5F5"/>
      </w:pPr>
      <w:r>
        <w:rPr>
          <w:i/>
          <w:color w:val="6B7280"/>
          <w:sz w:val="18"/>
        </w:rPr>
        <w:t>EXAMPLE (from RFP-A10): "A pre-post exercise via a test (without supply constraints) and control group is envisioned; however, vendors should feel free to recommend alternative approaches." | EXAMPLE (from RFP-A11): "Primarily quantitative approach (CAWI/CAPI/CATI). However, we do require a degree of nuanced qualitative insights around the creative to drive real understanding."</w:t>
      </w:r>
    </w:p>
    <w:p/>
    <w:p>
      <w:r>
        <w:rPr>
          <w:b/>
        </w:rPr>
        <w:t>6.3 Research Stages (if multi-stage)</w:t>
      </w:r>
    </w:p>
    <w:p>
      <w:pPr>
        <w:shd w:val="clear" w:color="auto" w:fill="E3F2FD"/>
      </w:pPr>
      <w:r>
        <w:rPr>
          <w:i/>
          <w:color w:val="01579B"/>
          <w:sz w:val="20"/>
        </w:rPr>
        <w:t>ℹ️  For multi-stage research (e.g., qual exploration → quant validation → conjoint modeling), describe each stage separately. Delete if single-stage.</w:t>
      </w:r>
    </w:p>
    <w:p>
      <w:r>
        <w:rPr>
          <w:b/>
          <w:sz w:val="22"/>
        </w:rPr>
        <w:t>Research Stage 1:</w:t>
      </w:r>
    </w:p>
    <w:p>
      <w:pPr>
        <w:shd w:val="clear" w:color="auto" w:fill="FFF3E0"/>
      </w:pPr>
      <w:r>
        <w:rPr>
          <w:b/>
          <w:color w:val="1F2937"/>
          <w:sz w:val="22"/>
        </w:rPr>
        <w:t xml:space="preserve">Stage 1 Name: </w:t>
      </w:r>
      <w:r>
        <w:rPr>
          <w:color w:val="DA365C"/>
          <w:sz w:val="22"/>
        </w:rPr>
      </w:r>
      <w:r>
        <w:rPr>
          <w:sz w:val="20"/>
        </w:rPr>
        <w:t>It is worth bearing in mind for the future (not at proposal stage) that some of our brands are seasonal, specifically Otrivin and Theraflu, therefore the timing of when we receive reporting and results for these brands should be timed to allow global and regional level planning ahead of the next cycles.</w:t>
        <w:br/>
        <w:t>Please outline how you would approach the above ‘output’ requirements.</w:t>
        <w:br/>
        <w:t>7.</w:t>
        <w:tab/>
        <w:t>Resourcing, Project Management &amp; SOP requirements:</w:t>
      </w:r>
    </w:p>
    <w:p>
      <w:r>
        <w:rPr>
          <w:i/>
          <w:color w:val="6B7280"/>
          <w:sz w:val="18"/>
        </w:rPr>
        <w:t xml:space="preserve">  Example: e.g., Quantitative TPP Concept Testing | Claims Conjoint / Preference Share Simulation</w:t>
      </w:r>
    </w:p>
    <w:p>
      <w:pPr>
        <w:shd w:val="clear" w:color="auto" w:fill="FFF3E0"/>
      </w:pPr>
      <w:r>
        <w:rPr>
          <w:b/>
          <w:color w:val="1F2937"/>
          <w:sz w:val="22"/>
        </w:rPr>
        <w:t xml:space="preserve">Stage 1 Objectives: </w:t>
      </w:r>
      <w:r>
        <w:rPr>
          <w:color w:val="DA365C"/>
          <w:sz w:val="22"/>
        </w:rPr>
      </w:r>
      <w:r>
        <w:rPr>
          <w:sz w:val="20"/>
        </w:rPr>
        <w:t>It is worth bearing in mind for the future (not at proposal stage) that some of our brands are seasonal, specifically Otrivin and Theraflu, therefore the timing of when we receive reporting and results for these brands should be timed to allow global and regional level planning ahead of the next cycles.</w:t>
        <w:br/>
        <w:t>Please outline how you would approach the above ‘output’ requirements.</w:t>
        <w:br/>
        <w:t>7.</w:t>
        <w:tab/>
        <w:t>Resourcing, Project Management &amp; SOP requirements:</w:t>
      </w:r>
    </w:p>
    <w:p>
      <w:r>
        <w:rPr>
          <w:i/>
          <w:color w:val="6B7280"/>
          <w:sz w:val="18"/>
        </w:rPr>
        <w:t xml:space="preserve">  Example: Bulleted list of stage-specific objectives</w:t>
      </w:r>
    </w:p>
    <w:p>
      <w:pPr>
        <w:shd w:val="clear" w:color="auto" w:fill="FFF3E0"/>
      </w:pPr>
      <w:r>
        <w:rPr>
          <w:b/>
          <w:color w:val="1F2937"/>
          <w:sz w:val="22"/>
        </w:rPr>
        <w:t xml:space="preserve">Stage 1 Method: </w:t>
      </w:r>
      <w:r>
        <w:rPr>
          <w:color w:val="DA365C"/>
          <w:sz w:val="22"/>
        </w:rPr>
      </w:r>
      <w:r>
        <w:rPr>
          <w:sz w:val="20"/>
        </w:rPr>
        <w:t>It is worth bearing in mind for the future (not at proposal stage) that some of our brands are seasonal, specifically Otrivin and Theraflu, therefore the timing of when we receive reporting and results for these brands should be timed to allow global and regional level planning ahead of the next cycles.</w:t>
        <w:br/>
        <w:t>Please outline how you would approach the above ‘output’ requirements.</w:t>
        <w:br/>
        <w:t>7.</w:t>
        <w:tab/>
        <w:t>Resourcing, Project Management &amp; SOP requirements:</w:t>
      </w:r>
    </w:p>
    <w:p>
      <w:r>
        <w:rPr>
          <w:i/>
          <w:color w:val="6B7280"/>
          <w:sz w:val="18"/>
        </w:rPr>
        <w:t xml:space="preserve">  Example: Specific methodology for this stage</w:t>
      </w:r>
    </w:p>
    <w:p>
      <w:r>
        <w:rPr>
          <w:b/>
          <w:sz w:val="22"/>
        </w:rPr>
        <w:t>Research Stage 2:</w:t>
      </w:r>
    </w:p>
    <w:p>
      <w:pPr>
        <w:shd w:val="clear" w:color="auto" w:fill="FFF3E0"/>
      </w:pPr>
      <w:r>
        <w:rPr>
          <w:b/>
          <w:color w:val="1F2937"/>
          <w:sz w:val="22"/>
        </w:rPr>
        <w:t xml:space="preserve">Stage 2 Name: </w:t>
      </w:r>
      <w:r>
        <w:rPr>
          <w:color w:val="DA365C"/>
          <w:sz w:val="22"/>
        </w:rPr>
      </w:r>
      <w:r>
        <w:rPr>
          <w:sz w:val="20"/>
        </w:rPr>
        <w:t>It is worth bearing in mind for the future (not at proposal stage) that some of our brands are seasonal, specifically Otrivin and Theraflu, therefore the timing of when we receive reporting and results for these brands should be timed to allow global and regional level planning ahead of the next cycles.</w:t>
        <w:br/>
        <w:t>Please outline how you would approach the above ‘output’ requirements.</w:t>
        <w:br/>
        <w:t>7.</w:t>
        <w:tab/>
        <w:t>Resourcing, Project Management &amp; SOP requirements:</w:t>
      </w:r>
    </w:p>
    <w:p>
      <w:r>
        <w:rPr>
          <w:i/>
          <w:color w:val="6B7280"/>
          <w:sz w:val="18"/>
        </w:rPr>
        <w:t xml:space="preserve">  Example: e.g., Quantitative TPP Concept Testing | Claims Conjoint / Preference Share Simulation</w:t>
      </w:r>
    </w:p>
    <w:p>
      <w:pPr>
        <w:shd w:val="clear" w:color="auto" w:fill="FFF3E0"/>
      </w:pPr>
      <w:r>
        <w:rPr>
          <w:b/>
          <w:color w:val="1F2937"/>
          <w:sz w:val="22"/>
        </w:rPr>
        <w:t xml:space="preserve">Stage 2 Objectives: </w:t>
      </w:r>
      <w:r>
        <w:rPr>
          <w:color w:val="DA365C"/>
          <w:sz w:val="22"/>
        </w:rPr>
      </w:r>
      <w:r>
        <w:rPr>
          <w:sz w:val="20"/>
        </w:rPr>
        <w:t>It is worth bearing in mind for the future (not at proposal stage) that some of our brands are seasonal, specifically Otrivin and Theraflu, therefore the timing of when we receive reporting and results for these brands should be timed to allow global and regional level planning ahead of the next cycles.</w:t>
        <w:br/>
        <w:t>Please outline how you would approach the above ‘output’ requirements.</w:t>
        <w:br/>
        <w:t>7.</w:t>
        <w:tab/>
        <w:t>Resourcing, Project Management &amp; SOP requirements:</w:t>
      </w:r>
    </w:p>
    <w:p>
      <w:r>
        <w:rPr>
          <w:i/>
          <w:color w:val="6B7280"/>
          <w:sz w:val="18"/>
        </w:rPr>
        <w:t xml:space="preserve">  Example: Bulleted list of stage-specific objectives</w:t>
      </w:r>
    </w:p>
    <w:p>
      <w:pPr>
        <w:shd w:val="clear" w:color="auto" w:fill="FFF3E0"/>
      </w:pPr>
      <w:r>
        <w:rPr>
          <w:b/>
          <w:color w:val="1F2937"/>
          <w:sz w:val="22"/>
        </w:rPr>
        <w:t xml:space="preserve">Stage 2 Method: </w:t>
      </w:r>
      <w:r>
        <w:rPr>
          <w:color w:val="DA365C"/>
          <w:sz w:val="22"/>
        </w:rPr>
      </w:r>
      <w:r>
        <w:rPr>
          <w:sz w:val="20"/>
        </w:rPr>
        <w:t>It is worth bearing in mind for the future (not at proposal stage) that some of our brands are seasonal, specifically Otrivin and Theraflu, therefore the timing of when we receive reporting and results for these brands should be timed to allow global and regional level planning ahead of the next cycles.</w:t>
        <w:br/>
        <w:t>Please outline how you would approach the above ‘output’ requirements.</w:t>
        <w:br/>
        <w:t>7.</w:t>
        <w:tab/>
        <w:t>Resourcing, Project Management &amp; SOP requirements:</w:t>
      </w:r>
    </w:p>
    <w:p>
      <w:r>
        <w:rPr>
          <w:i/>
          <w:color w:val="6B7280"/>
          <w:sz w:val="18"/>
        </w:rPr>
        <w:t xml:space="preserve">  Example: Specific methodology for this stage</w:t>
      </w:r>
    </w:p>
    <w:p>
      <w:pPr>
        <w:shd w:val="clear" w:color="auto" w:fill="F3E5F5"/>
      </w:pPr>
      <w:r>
        <w:rPr>
          <w:i/>
          <w:color w:val="6B7280"/>
          <w:sz w:val="18"/>
        </w:rPr>
        <w:t>EXAMPLE (from RFP-A13): "Stage 1: Quantitative TPP Concept Testing — Quantify the size of opportunity, qualify TPP strength based on predictive measures, profile likely prescribers. Stage 2: Claims Conjoint / Preference Share Simulation — Quantify physician preference share for launch candidate, sensitivity to endpoints, preference share simulator model."</w:t>
      </w:r>
    </w:p>
    <w:p>
      <w:r>
        <w:br w:type="page"/>
      </w:r>
    </w:p>
    <w:p>
      <w:pPr>
        <w:pStyle w:val="Heading1"/>
      </w:pPr>
      <w:r>
        <w:t>7. Markets &amp; Geography</w:t>
      </w:r>
    </w:p>
    <w:p>
      <w:pPr>
        <w:shd w:val="clear" w:color="auto" w:fill="E3F2FD"/>
      </w:pPr>
      <w:r>
        <w:rPr>
          <w:i/>
          <w:color w:val="01579B"/>
          <w:sz w:val="20"/>
        </w:rPr>
        <w:t>ℹ️  Specify target markets. For multi-country studies, indicate core vs. local elements. Use the table below.</w:t>
      </w:r>
    </w:p>
    <w:p>
      <w:pPr>
        <w:shd w:val="clear" w:color="auto" w:fill="E8F5E9"/>
      </w:pPr>
      <w:r>
        <w:rPr>
          <w:b/>
          <w:color w:val="1F2937"/>
          <w:sz w:val="22"/>
        </w:rPr>
        <w:t xml:space="preserve">Geographic Scope: </w:t>
      </w:r>
      <w:r>
        <w:rPr>
          <w:color w:val="2E7D32"/>
          <w:sz w:val="22"/>
        </w:rPr>
      </w:r>
      <w:r>
        <w:rPr>
          <w:sz w:val="20"/>
        </w:rPr>
        <w:t>Brand-audience-market matrix outlining audiences, categories and markets to track – prioritised and tiered</w:t>
        <w:br/>
        <w:t>Project management requirements &amp; resourcing</w:t>
        <w:br/>
        <w:t>Discovery phase (validation/ parallel) projects early Q1 [YEAR]</w:t>
        <w:br/>
        <w:t>Contract length: 3 year contract term for the program</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2937"/>
          </w:tcPr>
          <w:p>
            <w:r/>
            <w:r>
              <w:rPr>
                <w:rFonts w:ascii="Inter" w:hAnsi="Inter"/>
                <w:b/>
                <w:color w:val="FFFFFF"/>
                <w:sz w:val="20"/>
              </w:rPr>
              <w:t>Market / Country</w:t>
            </w:r>
          </w:p>
        </w:tc>
        <w:tc>
          <w:tcPr>
            <w:tcW w:type="dxa" w:w="2351"/>
            <w:shd w:fill="1F2937"/>
          </w:tcPr>
          <w:p>
            <w:r/>
            <w:r>
              <w:rPr>
                <w:rFonts w:ascii="Inter" w:hAnsi="Inter"/>
                <w:b/>
                <w:color w:val="FFFFFF"/>
                <w:sz w:val="20"/>
              </w:rPr>
              <w:t>Priority Tier</w:t>
            </w:r>
          </w:p>
        </w:tc>
        <w:tc>
          <w:tcPr>
            <w:tcW w:type="dxa" w:w="2351"/>
            <w:shd w:fill="1F2937"/>
          </w:tcPr>
          <w:p>
            <w:r/>
            <w:r>
              <w:rPr>
                <w:rFonts w:ascii="Inter" w:hAnsi="Inter"/>
                <w:b/>
                <w:color w:val="FFFFFF"/>
                <w:sz w:val="20"/>
              </w:rPr>
              <w:t>Local Requirements</w:t>
            </w:r>
          </w:p>
        </w:tc>
        <w:tc>
          <w:tcPr>
            <w:tcW w:type="dxa" w:w="2351"/>
            <w:shd w:fill="1F2937"/>
          </w:tcPr>
          <w:p>
            <w:r/>
            <w:r>
              <w:rPr>
                <w:rFonts w:ascii="Inter" w:hAnsi="Inter"/>
                <w:b/>
                <w:color w:val="FFFFFF"/>
                <w:sz w:val="20"/>
              </w:rPr>
              <w:t>Regulatory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bl>
    <w:p>
      <w:pPr>
        <w:shd w:val="clear" w:color="auto" w:fill="F3E5F5"/>
      </w:pPr>
      <w:r>
        <w:rPr>
          <w:i/>
          <w:color w:val="6B7280"/>
          <w:sz w:val="18"/>
        </w:rPr>
        <w:t>EXAMPLE (from RFP-A12): Markets: "Europe — UK, Germany, France, Italy, Poland, Sweden, Netherlands | Russia | Japan | Korea". Core elements (80%) + local flexibility (20%). Local requirements varied by country — EU focused on reimbursement status, Japan on DPC/non-DPC hospital classification.</w:t>
      </w:r>
    </w:p>
    <w:p>
      <w:r>
        <w:br w:type="page"/>
      </w:r>
    </w:p>
    <w:p>
      <w:pPr>
        <w:pStyle w:val="Heading1"/>
      </w:pPr>
      <w:r>
        <w:t>8. Target Audience &amp; Sample</w:t>
      </w:r>
    </w:p>
    <w:p>
      <w:pPr>
        <w:shd w:val="clear" w:color="auto" w:fill="E3F2FD"/>
      </w:pPr>
      <w:r>
        <w:rPr>
          <w:i/>
          <w:color w:val="01579B"/>
          <w:sz w:val="20"/>
        </w:rPr>
        <w:t>ℹ️  Define who will be interviewed/surveyed. Specify HCP types, patient profiles, payer types, or consumer segments as applicable.</w:t>
      </w:r>
    </w:p>
    <w:p>
      <w:pPr>
        <w:shd w:val="clear" w:color="auto" w:fill="E8F5E9"/>
      </w:pPr>
      <w:r>
        <w:rPr>
          <w:b/>
          <w:color w:val="1F2937"/>
          <w:sz w:val="22"/>
        </w:rPr>
        <w:t xml:space="preserve">Primary Target Audience: </w:t>
      </w:r>
      <w:r>
        <w:rPr>
          <w:color w:val="2E7D32"/>
          <w:sz w:val="22"/>
        </w:rPr>
      </w:r>
      <w:r>
        <w:rPr>
          <w:sz w:val="20"/>
        </w:rPr>
        <w:t>APPENDIX 1: [CLIENT_ORG] CONSUMER HEALTHCARE EXPERT PROFILE</w:t>
        <w:tab/>
        <w:t>23</w:t>
        <w:br/>
        <w:t>Appendix 2: Current Tracking Status Assessment</w:t>
        <w:tab/>
        <w:t>32</w:t>
        <w:br/>
        <w:t>Appendix 3: Other information</w:t>
        <w:tab/>
        <w:t>34</w:t>
        <w:br/>
        <w:t>Commercial Overview</w:t>
        <w:br/>
        <w:t>The basis of this RFP is to re-invent our Expert Performance Tracking program for [CLIENT_ORG] Consumer Healthcare for the years [PHONE] (inclusive). We are open to being challenged on our choices in the brief and have tried hard to be very clear on our core needs.</w:t>
        <w:br/>
        <w:t>The main elements for costing purposes are:</w:t>
        <w:br/>
        <w:t>Core measures of Expert tracking:</w:t>
        <w:br/>
        <w:t>Recommendation Tracking</w:t>
        <w:br/>
        <w:t>Trust</w:t>
        <w:br/>
        <w:t>Salesforce effectiveness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2937"/>
          </w:tcPr>
          <w:p>
            <w:r/>
            <w:r>
              <w:rPr>
                <w:rFonts w:ascii="Inter" w:hAnsi="Inter"/>
                <w:b/>
                <w:color w:val="FFFFFF"/>
                <w:sz w:val="20"/>
              </w:rPr>
              <w:t>Audience Segment</w:t>
            </w:r>
          </w:p>
        </w:tc>
        <w:tc>
          <w:tcPr>
            <w:tcW w:type="dxa" w:w="1881"/>
            <w:shd w:fill="1F2937"/>
          </w:tcPr>
          <w:p>
            <w:r/>
            <w:r>
              <w:rPr>
                <w:rFonts w:ascii="Inter" w:hAnsi="Inter"/>
                <w:b/>
                <w:color w:val="FFFFFF"/>
                <w:sz w:val="20"/>
              </w:rPr>
              <w:t>N (Sample Size)</w:t>
            </w:r>
          </w:p>
        </w:tc>
        <w:tc>
          <w:tcPr>
            <w:tcW w:type="dxa" w:w="1881"/>
            <w:shd w:fill="1F2937"/>
          </w:tcPr>
          <w:p>
            <w:r/>
            <w:r>
              <w:rPr>
                <w:rFonts w:ascii="Inter" w:hAnsi="Inter"/>
                <w:b/>
                <w:color w:val="FFFFFF"/>
                <w:sz w:val="20"/>
              </w:rPr>
              <w:t>Specialty / Profile</w:t>
            </w:r>
          </w:p>
        </w:tc>
        <w:tc>
          <w:tcPr>
            <w:tcW w:type="dxa" w:w="1881"/>
            <w:shd w:fill="1F2937"/>
          </w:tcPr>
          <w:p>
            <w:r/>
            <w:r>
              <w:rPr>
                <w:rFonts w:ascii="Inter" w:hAnsi="Inter"/>
                <w:b/>
                <w:color w:val="FFFFFF"/>
                <w:sz w:val="20"/>
              </w:rPr>
              <w:t>Screening Criteria</w:t>
            </w:r>
          </w:p>
        </w:tc>
        <w:tc>
          <w:tcPr>
            <w:tcW w:type="dxa" w:w="1881"/>
            <w:shd w:fill="1F2937"/>
          </w:tcPr>
          <w:p>
            <w:r/>
            <w:r>
              <w:rPr>
                <w:rFonts w:ascii="Inter" w:hAnsi="Inter"/>
                <w:b/>
                <w:color w:val="FFFFFF"/>
                <w:sz w:val="20"/>
              </w:rPr>
              <w:t>Recruitment 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bl>
    <w:p>
      <w:pPr>
        <w:shd w:val="clear" w:color="auto" w:fill="F3E5F5"/>
      </w:pPr>
      <w:r>
        <w:rPr>
          <w:i/>
          <w:color w:val="6B7280"/>
          <w:sz w:val="18"/>
        </w:rPr>
        <w:t>EXAMPLE (from RFP-A10): "30 GP Veterinarian clinics — ~100-150 veterinarians. Zephora to provide recruitment list." | EXAMPLE (from RFP-A11): "Sample should include formulary/P&amp;T decision makers (medical directors, pharmacy directors) at managed care plans and PBMs. Where possible include larger national payers (e.g., [PAYER_ORG])." | EXAMPLE (from RFP-A12): "Respondents from: CxOs, Head of Radiology, Radiologists. Natural distribution to allow extrapolation to entire population within each country."</w:t>
      </w:r>
    </w:p>
    <w:p>
      <w:r>
        <w:br w:type="page"/>
      </w:r>
    </w:p>
    <w:p>
      <w:pPr>
        <w:pStyle w:val="Heading1"/>
      </w:pPr>
      <w:r>
        <w:t>9. Timeline &amp; Key Dates</w:t>
      </w:r>
    </w:p>
    <w:p>
      <w:pPr>
        <w:shd w:val="clear" w:color="auto" w:fill="E3F2FD"/>
      </w:pPr>
      <w:r>
        <w:rPr>
          <w:i/>
          <w:color w:val="01579B"/>
          <w:sz w:val="20"/>
        </w:rPr>
        <w:t>ℹ️  Specify critical milestones and deadlines. All dates should include time zone if applicable.</w:t>
      </w:r>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Milestone</w:t>
            </w:r>
          </w:p>
        </w:tc>
        <w:tc>
          <w:tcPr>
            <w:tcW w:type="dxa" w:w="3135"/>
            <w:shd w:fill="1F2937"/>
          </w:tcPr>
          <w:p>
            <w:r/>
            <w:r>
              <w:rPr>
                <w:rFonts w:ascii="Inter" w:hAnsi="Inter"/>
                <w:b/>
                <w:color w:val="FFFFFF"/>
                <w:sz w:val="20"/>
              </w:rPr>
              <w:t>Date</w:t>
            </w:r>
          </w:p>
        </w:tc>
        <w:tc>
          <w:tcPr>
            <w:tcW w:type="dxa" w:w="3135"/>
            <w:shd w:fill="1F2937"/>
          </w:tcPr>
          <w:p>
            <w:r/>
            <w:r>
              <w:rPr>
                <w:rFonts w:ascii="Inter" w:hAnsi="Inter"/>
                <w:b/>
                <w:color w:val="FFFFFF"/>
                <w:sz w:val="20"/>
              </w:rPr>
              <w:t>Notes</w:t>
            </w:r>
          </w:p>
        </w:tc>
      </w:tr>
      <w:tr>
        <w:tc>
          <w:tcPr>
            <w:tcW w:type="dxa" w:w="3135"/>
          </w:tcPr>
          <w:p>
            <w:r>
              <w:rPr>
                <w:sz w:val="20"/>
              </w:rPr>
              <w:t>RFP Release Date</w:t>
            </w:r>
          </w:p>
        </w:tc>
        <w:tc>
          <w:tcPr>
            <w:tcW w:type="dxa" w:w="3135"/>
            <w:shd w:fill="FFF3E0"/>
          </w:tcPr>
          <w:p>
            <w:r>
              <w:rPr>
                <w:color w:val="DA365C"/>
                <w:sz w:val="20"/>
              </w:rPr>
              <w:t>[ENTER DATE]</w:t>
            </w:r>
          </w:p>
        </w:tc>
        <w:tc>
          <w:tcPr>
            <w:tcW w:type="dxa" w:w="3135"/>
          </w:tcPr>
          <w:p>
            <w:r/>
          </w:p>
        </w:tc>
      </w:tr>
      <w:tr>
        <w:tc>
          <w:tcPr>
            <w:tcW w:type="dxa" w:w="3135"/>
          </w:tcPr>
          <w:p>
            <w:r>
              <w:rPr>
                <w:sz w:val="20"/>
              </w:rPr>
              <w:t>Deadline for Vendor Questions</w:t>
            </w:r>
          </w:p>
        </w:tc>
        <w:tc>
          <w:tcPr>
            <w:tcW w:type="dxa" w:w="3135"/>
            <w:shd w:fill="FFF3E0"/>
          </w:tcPr>
          <w:p>
            <w:r>
              <w:rPr>
                <w:color w:val="DA365C"/>
                <w:sz w:val="20"/>
              </w:rPr>
              <w:t>[ENTER DATE]</w:t>
            </w:r>
          </w:p>
        </w:tc>
        <w:tc>
          <w:tcPr>
            <w:tcW w:type="dxa" w:w="3135"/>
          </w:tcPr>
          <w:p>
            <w:r/>
          </w:p>
        </w:tc>
      </w:tr>
      <w:tr>
        <w:tc>
          <w:tcPr>
            <w:tcW w:type="dxa" w:w="3135"/>
          </w:tcPr>
          <w:p>
            <w:r>
              <w:rPr>
                <w:sz w:val="20"/>
              </w:rPr>
              <w:t>Responses to Questions Posted</w:t>
            </w:r>
          </w:p>
        </w:tc>
        <w:tc>
          <w:tcPr>
            <w:tcW w:type="dxa" w:w="3135"/>
            <w:shd w:fill="FFF3E0"/>
          </w:tcPr>
          <w:p>
            <w:r>
              <w:rPr>
                <w:color w:val="DA365C"/>
                <w:sz w:val="20"/>
              </w:rPr>
              <w:t>[ENTER DATE]</w:t>
            </w:r>
          </w:p>
        </w:tc>
        <w:tc>
          <w:tcPr>
            <w:tcW w:type="dxa" w:w="3135"/>
          </w:tcPr>
          <w:p>
            <w:r/>
          </w:p>
        </w:tc>
      </w:tr>
      <w:tr>
        <w:tc>
          <w:tcPr>
            <w:tcW w:type="dxa" w:w="3135"/>
          </w:tcPr>
          <w:p>
            <w:r>
              <w:rPr>
                <w:sz w:val="20"/>
              </w:rPr>
              <w:t>Proposal Submission Deadline</w:t>
            </w:r>
          </w:p>
        </w:tc>
        <w:tc>
          <w:tcPr>
            <w:tcW w:type="dxa" w:w="3135"/>
            <w:shd w:fill="FFF3E0"/>
          </w:tcPr>
          <w:p>
            <w:r>
              <w:rPr>
                <w:color w:val="DA365C"/>
                <w:sz w:val="20"/>
              </w:rPr>
              <w:t>[ENTER DATE]</w:t>
            </w:r>
          </w:p>
        </w:tc>
        <w:tc>
          <w:tcPr>
            <w:tcW w:type="dxa" w:w="3135"/>
          </w:tcPr>
          <w:p>
            <w:r/>
          </w:p>
        </w:tc>
      </w:tr>
      <w:tr>
        <w:tc>
          <w:tcPr>
            <w:tcW w:type="dxa" w:w="3135"/>
          </w:tcPr>
          <w:p>
            <w:r>
              <w:rPr>
                <w:sz w:val="20"/>
              </w:rPr>
              <w:t>Vendor Shortlist Notification</w:t>
            </w:r>
          </w:p>
        </w:tc>
        <w:tc>
          <w:tcPr>
            <w:tcW w:type="dxa" w:w="3135"/>
            <w:shd w:fill="FFF3E0"/>
          </w:tcPr>
          <w:p>
            <w:r>
              <w:rPr>
                <w:color w:val="DA365C"/>
                <w:sz w:val="20"/>
              </w:rPr>
              <w:t>[ENTER DATE]</w:t>
            </w:r>
          </w:p>
        </w:tc>
        <w:tc>
          <w:tcPr>
            <w:tcW w:type="dxa" w:w="3135"/>
          </w:tcPr>
          <w:p>
            <w:r/>
          </w:p>
        </w:tc>
      </w:tr>
      <w:tr>
        <w:tc>
          <w:tcPr>
            <w:tcW w:type="dxa" w:w="3135"/>
          </w:tcPr>
          <w:p>
            <w:r>
              <w:rPr>
                <w:sz w:val="20"/>
              </w:rPr>
              <w:t>Vendor Presentations / Pitch</w:t>
            </w:r>
          </w:p>
        </w:tc>
        <w:tc>
          <w:tcPr>
            <w:tcW w:type="dxa" w:w="3135"/>
            <w:shd w:fill="FFF3E0"/>
          </w:tcPr>
          <w:p>
            <w:r>
              <w:rPr>
                <w:color w:val="DA365C"/>
                <w:sz w:val="20"/>
              </w:rPr>
              <w:t>[ENTER DATE]</w:t>
            </w:r>
          </w:p>
        </w:tc>
        <w:tc>
          <w:tcPr>
            <w:tcW w:type="dxa" w:w="3135"/>
          </w:tcPr>
          <w:p>
            <w:r/>
          </w:p>
        </w:tc>
      </w:tr>
      <w:tr>
        <w:tc>
          <w:tcPr>
            <w:tcW w:type="dxa" w:w="3135"/>
          </w:tcPr>
          <w:p>
            <w:r>
              <w:rPr>
                <w:sz w:val="20"/>
              </w:rPr>
              <w:t>Award Decision</w:t>
            </w:r>
          </w:p>
        </w:tc>
        <w:tc>
          <w:tcPr>
            <w:tcW w:type="dxa" w:w="3135"/>
            <w:shd w:fill="FFF3E0"/>
          </w:tcPr>
          <w:p>
            <w:r>
              <w:rPr>
                <w:color w:val="DA365C"/>
                <w:sz w:val="20"/>
              </w:rPr>
              <w:t>[ENTER DATE]</w:t>
            </w:r>
          </w:p>
        </w:tc>
        <w:tc>
          <w:tcPr>
            <w:tcW w:type="dxa" w:w="3135"/>
          </w:tcPr>
          <w:p>
            <w:r/>
          </w:p>
        </w:tc>
      </w:tr>
      <w:tr>
        <w:tc>
          <w:tcPr>
            <w:tcW w:type="dxa" w:w="3135"/>
          </w:tcPr>
          <w:p>
            <w:r>
              <w:rPr>
                <w:sz w:val="20"/>
              </w:rPr>
              <w:t>Project Kickoff</w:t>
            </w:r>
          </w:p>
        </w:tc>
        <w:tc>
          <w:tcPr>
            <w:tcW w:type="dxa" w:w="3135"/>
            <w:shd w:fill="FFF3E0"/>
          </w:tcPr>
          <w:p>
            <w:r>
              <w:rPr>
                <w:color w:val="DA365C"/>
                <w:sz w:val="20"/>
              </w:rPr>
              <w:t>[ENTER DATE]</w:t>
            </w:r>
          </w:p>
        </w:tc>
        <w:tc>
          <w:tcPr>
            <w:tcW w:type="dxa" w:w="3135"/>
          </w:tcPr>
          <w:p>
            <w:r/>
          </w:p>
        </w:tc>
      </w:tr>
      <w:tr>
        <w:tc>
          <w:tcPr>
            <w:tcW w:type="dxa" w:w="3135"/>
          </w:tcPr>
          <w:p>
            <w:r>
              <w:rPr>
                <w:sz w:val="20"/>
              </w:rPr>
              <w:t>Fieldwork Start</w:t>
            </w:r>
          </w:p>
        </w:tc>
        <w:tc>
          <w:tcPr>
            <w:tcW w:type="dxa" w:w="3135"/>
            <w:shd w:fill="FFF3E0"/>
          </w:tcPr>
          <w:p>
            <w:r>
              <w:rPr>
                <w:color w:val="DA365C"/>
                <w:sz w:val="20"/>
              </w:rPr>
              <w:t>[ENTER DATE]</w:t>
            </w:r>
          </w:p>
        </w:tc>
        <w:tc>
          <w:tcPr>
            <w:tcW w:type="dxa" w:w="3135"/>
          </w:tcPr>
          <w:p>
            <w:r/>
          </w:p>
        </w:tc>
      </w:tr>
      <w:tr>
        <w:tc>
          <w:tcPr>
            <w:tcW w:type="dxa" w:w="3135"/>
          </w:tcPr>
          <w:p>
            <w:r>
              <w:rPr>
                <w:sz w:val="20"/>
              </w:rPr>
              <w:t>Fieldwork Complete</w:t>
            </w:r>
          </w:p>
        </w:tc>
        <w:tc>
          <w:tcPr>
            <w:tcW w:type="dxa" w:w="3135"/>
            <w:shd w:fill="FFF3E0"/>
          </w:tcPr>
          <w:p>
            <w:r>
              <w:rPr>
                <w:color w:val="DA365C"/>
                <w:sz w:val="20"/>
              </w:rPr>
              <w:t>[ENTER DATE]</w:t>
            </w:r>
          </w:p>
        </w:tc>
        <w:tc>
          <w:tcPr>
            <w:tcW w:type="dxa" w:w="3135"/>
          </w:tcPr>
          <w:p>
            <w:r/>
          </w:p>
        </w:tc>
      </w:tr>
      <w:tr>
        <w:tc>
          <w:tcPr>
            <w:tcW w:type="dxa" w:w="3135"/>
          </w:tcPr>
          <w:p>
            <w:r>
              <w:rPr>
                <w:sz w:val="20"/>
              </w:rPr>
              <w:t>Topline / Interim Report</w:t>
            </w:r>
          </w:p>
        </w:tc>
        <w:tc>
          <w:tcPr>
            <w:tcW w:type="dxa" w:w="3135"/>
            <w:shd w:fill="FFF3E0"/>
          </w:tcPr>
          <w:p>
            <w:r>
              <w:rPr>
                <w:color w:val="DA365C"/>
                <w:sz w:val="20"/>
              </w:rPr>
              <w:t>[ENTER DATE]</w:t>
            </w:r>
          </w:p>
        </w:tc>
        <w:tc>
          <w:tcPr>
            <w:tcW w:type="dxa" w:w="3135"/>
          </w:tcPr>
          <w:p>
            <w:r/>
          </w:p>
        </w:tc>
      </w:tr>
      <w:tr>
        <w:tc>
          <w:tcPr>
            <w:tcW w:type="dxa" w:w="3135"/>
          </w:tcPr>
          <w:p>
            <w:r>
              <w:rPr>
                <w:sz w:val="20"/>
              </w:rPr>
              <w:t>Final Report &amp; Presentation</w:t>
            </w:r>
          </w:p>
        </w:tc>
        <w:tc>
          <w:tcPr>
            <w:tcW w:type="dxa" w:w="3135"/>
            <w:shd w:fill="FFF3E0"/>
          </w:tcPr>
          <w:p>
            <w:r>
              <w:rPr>
                <w:color w:val="DA365C"/>
                <w:sz w:val="20"/>
              </w:rPr>
              <w:t>[ENTER DATE]</w:t>
            </w:r>
          </w:p>
        </w:tc>
        <w:tc>
          <w:tcPr>
            <w:tcW w:type="dxa" w:w="3135"/>
          </w:tcPr>
          <w:p>
            <w:r/>
          </w:p>
        </w:tc>
      </w:tr>
    </w:tbl>
    <w:p>
      <w:pPr>
        <w:shd w:val="clear" w:color="auto" w:fill="F3E5F5"/>
      </w:pPr>
      <w:r>
        <w:rPr>
          <w:i/>
          <w:color w:val="6B7280"/>
          <w:sz w:val="18"/>
        </w:rPr>
        <w:t>EXAMPLE (from RFP-A10): "Proposal received October 20. Selection of Vendors Week of 10/27." | EXAMPLE (from RFP-A13): "Deadline for submission of bids: September 9, 5:00 PM US Eastern Time." | EXAMPLE (from RFP-A11): "Fieldwork February — Readout by end of February. Concepts still in development, instrument design to run in parallel."</w:t>
      </w:r>
    </w:p>
    <w:p>
      <w:r>
        <w:br w:type="page"/>
      </w:r>
    </w:p>
    <w:p>
      <w:pPr>
        <w:pStyle w:val="Heading1"/>
      </w:pPr>
      <w:r>
        <w:t>10. Deliverables</w:t>
      </w:r>
    </w:p>
    <w:p>
      <w:pPr>
        <w:shd w:val="clear" w:color="auto" w:fill="E3F2FD"/>
      </w:pPr>
      <w:r>
        <w:rPr>
          <w:i/>
          <w:color w:val="01579B"/>
          <w:sz w:val="20"/>
        </w:rPr>
        <w:t>ℹ️  Specify all expected outputs. Check all that apply, then customize details.</w:t>
      </w:r>
    </w:p>
    <w:p>
      <w:pPr>
        <w:shd w:val="clear" w:color="auto" w:fill="E8F5E9"/>
      </w:pPr>
      <w:r>
        <w:rPr>
          <w:sz w:val="20"/>
        </w:rPr>
        <w:t>☐  Project plan and detailed timeline</w:t>
      </w:r>
    </w:p>
    <w:p>
      <w:pPr>
        <w:shd w:val="clear" w:color="auto" w:fill="E8F5E9"/>
      </w:pPr>
      <w:r>
        <w:rPr>
          <w:sz w:val="20"/>
        </w:rPr>
        <w:t>☐  Research materials (screener, discussion guide, questionnaire)</w:t>
      </w:r>
    </w:p>
    <w:p>
      <w:pPr>
        <w:shd w:val="clear" w:color="auto" w:fill="E8F5E9"/>
      </w:pPr>
      <w:r>
        <w:rPr>
          <w:sz w:val="20"/>
        </w:rPr>
        <w:t>☐  Topline / interim report (PowerPoint)</w:t>
      </w:r>
    </w:p>
    <w:p>
      <w:pPr>
        <w:shd w:val="clear" w:color="auto" w:fill="E8F5E9"/>
      </w:pPr>
      <w:r>
        <w:rPr>
          <w:sz w:val="20"/>
        </w:rPr>
        <w:t>☐  Final report (PowerPoint)</w:t>
      </w:r>
    </w:p>
    <w:p>
      <w:pPr>
        <w:shd w:val="clear" w:color="auto" w:fill="E8F5E9"/>
      </w:pPr>
      <w:r>
        <w:rPr>
          <w:sz w:val="20"/>
        </w:rPr>
        <w:t>☐  Executive summary with key recommendations</w:t>
      </w:r>
    </w:p>
    <w:p>
      <w:pPr>
        <w:shd w:val="clear" w:color="auto" w:fill="E8F5E9"/>
      </w:pPr>
      <w:r>
        <w:rPr>
          <w:sz w:val="20"/>
        </w:rPr>
        <w:t>☐  Raw data files (SPSS / CSV / Excel)</w:t>
      </w:r>
    </w:p>
    <w:p>
      <w:pPr>
        <w:shd w:val="clear" w:color="auto" w:fill="E8F5E9"/>
      </w:pPr>
      <w:r>
        <w:rPr>
          <w:sz w:val="20"/>
        </w:rPr>
        <w:t>☐  Transcripts / recordings (qualitative)</w:t>
      </w:r>
    </w:p>
    <w:p>
      <w:pPr>
        <w:shd w:val="clear" w:color="auto" w:fill="E8F5E9"/>
      </w:pPr>
      <w:r>
        <w:rPr>
          <w:sz w:val="20"/>
        </w:rPr>
        <w:t>☐  In-person presentation at client office</w:t>
      </w:r>
    </w:p>
    <w:p>
      <w:pPr>
        <w:shd w:val="clear" w:color="auto" w:fill="E8F5E9"/>
      </w:pPr>
      <w:r>
        <w:rPr>
          <w:sz w:val="20"/>
        </w:rPr>
        <w:t>☐  Virtual presentation / debrief</w:t>
      </w:r>
    </w:p>
    <w:p>
      <w:pPr>
        <w:shd w:val="clear" w:color="auto" w:fill="E8F5E9"/>
      </w:pPr>
      <w:r>
        <w:rPr>
          <w:sz w:val="20"/>
        </w:rPr>
        <w:t>☐  Dashboard / interactive data tool</w:t>
      </w:r>
    </w:p>
    <w:p>
      <w:pPr>
        <w:shd w:val="clear" w:color="auto" w:fill="E8F5E9"/>
      </w:pPr>
      <w:r>
        <w:rPr>
          <w:sz w:val="20"/>
        </w:rPr>
        <w:t>☐  Simulator model (for conjoint / preference share)</w:t>
      </w:r>
    </w:p>
    <w:p>
      <w:pPr>
        <w:shd w:val="clear" w:color="auto" w:fill="E8F5E9"/>
      </w:pPr>
      <w:r>
        <w:rPr>
          <w:sz w:val="20"/>
        </w:rPr>
        <w:t>☐  Ongoing consulting / advisory support post-delivery</w:t>
      </w:r>
    </w:p>
    <w:p>
      <w:pPr>
        <w:shd w:val="clear" w:color="auto" w:fill="E8F5E9"/>
      </w:pPr>
      <w:r>
        <w:rPr>
          <w:sz w:val="20"/>
        </w:rPr>
        <w:t>☐  Monthly / quarterly summary reports (tracking studies)</w:t>
      </w:r>
    </w:p>
    <w:p>
      <w:pPr>
        <w:shd w:val="clear" w:color="auto" w:fill="E8F5E9"/>
      </w:pPr>
      <w:r>
        <w:rPr>
          <w:sz w:val="20"/>
        </w:rPr>
        <w:t>☐  Data ingestion to client systems (Power BI / Data Lake)</w:t>
      </w:r>
    </w:p>
    <w:p>
      <w:pPr>
        <w:shd w:val="clear" w:color="auto" w:fill="E8F5E9"/>
      </w:pPr>
      <w:r>
        <w:rPr>
          <w:sz w:val="20"/>
        </w:rPr>
        <w:t>☐  Claims support letters (advertising claims)</w:t>
      </w:r>
    </w:p>
    <w:p>
      <w:pPr>
        <w:shd w:val="clear" w:color="auto" w:fill="FFF3E0"/>
      </w:pPr>
      <w:r>
        <w:rPr>
          <w:b/>
          <w:color w:val="1F2937"/>
          <w:sz w:val="22"/>
        </w:rPr>
        <w:t xml:space="preserve">Additional Deliverable Requirements: </w:t>
      </w:r>
      <w:r>
        <w:rPr>
          <w:color w:val="DA365C"/>
          <w:sz w:val="22"/>
        </w:rPr>
      </w:r>
      <w:r>
        <w:rPr>
          <w:sz w:val="20"/>
        </w:rPr>
        <w:t>1.6 Reporting Outputs &amp; Deliverables</w:t>
        <w:tab/>
        <w:t>16</w:t>
        <w:br/>
        <w:t>1.7</w:t>
        <w:tab/>
        <w:t>Resourcing, Project Management &amp; SOP requirements</w:t>
        <w:tab/>
        <w:t>18</w:t>
        <w:br/>
        <w:t>1.8 Discovery Phase projects</w:t>
        <w:tab/>
        <w:t>20</w:t>
      </w:r>
    </w:p>
    <w:p>
      <w:r>
        <w:rPr>
          <w:i/>
          <w:color w:val="6B7280"/>
          <w:sz w:val="18"/>
        </w:rPr>
        <w:t xml:space="preserve">  Example: e.g., 'Use [CLIENT_ORG] standard PowerPoint template' | 'All materials must be reviewed by Compliance before field'</w:t>
      </w:r>
    </w:p>
    <w:p>
      <w:pPr>
        <w:shd w:val="clear" w:color="auto" w:fill="F3E5F5"/>
      </w:pPr>
      <w:r>
        <w:rPr>
          <w:i/>
          <w:color w:val="6B7280"/>
          <w:sz w:val="18"/>
        </w:rPr>
        <w:t>EXAMPLE (from RFP-A10): "Project plan and timeline, Research materials, Monthly PowerPoint summary report, Final PowerPoint, Presentation at Princeton NJ office, Consulting and advice as necessary." | EXAMPLE (from RFP-A12): "Final report in PowerPoint using GE standard template including key findings/conclusions/recommendations, Access to raw data, In person/virtual report out to senior management."</w:t>
      </w:r>
    </w:p>
    <w:p>
      <w:r>
        <w:br w:type="page"/>
      </w:r>
    </w:p>
    <w:p>
      <w:pPr>
        <w:pStyle w:val="Heading1"/>
      </w:pPr>
      <w:r>
        <w:t>11. Budget &amp; Cost Requirements</w:t>
      </w:r>
    </w:p>
    <w:p>
      <w:pPr>
        <w:shd w:val="clear" w:color="auto" w:fill="E3F2FD"/>
      </w:pPr>
      <w:r>
        <w:rPr>
          <w:i/>
          <w:color w:val="01579B"/>
          <w:sz w:val="20"/>
        </w:rPr>
        <w:t>ℹ️  Specify budget guidance and cost breakdown requirements. Vendors should itemize costs clearly. Reference the companion TEMPLATE.xlsx for detailed cost breakdown grids.</w:t>
      </w:r>
    </w:p>
    <w:p>
      <w:pPr>
        <w:shd w:val="clear" w:color="auto" w:fill="E8F5E9"/>
      </w:pPr>
      <w:r>
        <w:rPr>
          <w:b/>
          <w:color w:val="1F2937"/>
          <w:sz w:val="22"/>
        </w:rPr>
        <w:t xml:space="preserve">Budget Range: </w:t>
      </w:r>
      <w:r>
        <w:rPr>
          <w:color w:val="2E7D32"/>
          <w:sz w:val="22"/>
        </w:rPr>
      </w:r>
      <w:r>
        <w:rPr>
          <w:sz w:val="20"/>
        </w:rPr>
        <w:t>Critical: Vendors are not expected to respond to all elements of the program if an element/s is outside their core research or data competencies. [CLIENT_ORG] reserves the right to award different elements of the EPT study to different agency partners, should this provide us with a clear advantage i</w:t>
      </w:r>
    </w:p>
    <w:p>
      <w:pPr>
        <w:shd w:val="clear" w:color="auto" w:fill="E8F5E9"/>
      </w:pPr>
      <w:r>
        <w:rPr>
          <w:b/>
          <w:color w:val="1F2937"/>
          <w:sz w:val="22"/>
        </w:rPr>
        <w:t xml:space="preserve">Currency: </w:t>
      </w:r>
      <w:r>
        <w:rPr>
          <w:color w:val="2E7D32"/>
          <w:sz w:val="22"/>
        </w:rPr>
      </w:r>
      <w:r>
        <w:rPr>
          <w:sz w:val="20"/>
        </w:rPr>
        <w:t>In consumer marketing, it is relatively straightforward to measure performance and has been done for decades: sales, consumption, brand equity, comms tracking. Within Expert, the Performance Tracker i</w:t>
      </w:r>
    </w:p>
    <w:p/>
    <w:p>
      <w:r>
        <w:rPr>
          <w:b/>
        </w:rPr>
        <w:t>Required Cost Itemization:</w:t>
      </w:r>
    </w:p>
    <w:p>
      <w:pPr>
        <w:shd w:val="clear" w:color="auto" w:fill="E8F5E9"/>
      </w:pPr>
      <w:r>
        <w:rPr>
          <w:sz w:val="20"/>
        </w:rPr>
        <w:t>☐  Project design, material design &amp; development</w:t>
      </w:r>
    </w:p>
    <w:p>
      <w:pPr>
        <w:shd w:val="clear" w:color="auto" w:fill="E8F5E9"/>
      </w:pPr>
      <w:r>
        <w:rPr>
          <w:sz w:val="20"/>
        </w:rPr>
        <w:t>☐  Questionnaire development / programming</w:t>
      </w:r>
    </w:p>
    <w:p>
      <w:pPr>
        <w:shd w:val="clear" w:color="auto" w:fill="E8F5E9"/>
      </w:pPr>
      <w:r>
        <w:rPr>
          <w:sz w:val="20"/>
        </w:rPr>
        <w:t>☐  Recruitment / screening costs</w:t>
      </w:r>
    </w:p>
    <w:p>
      <w:pPr>
        <w:shd w:val="clear" w:color="auto" w:fill="E8F5E9"/>
      </w:pPr>
      <w:r>
        <w:rPr>
          <w:sz w:val="20"/>
        </w:rPr>
        <w:t>☐  Fieldwork (interviewing, data collection)</w:t>
      </w:r>
    </w:p>
    <w:p>
      <w:pPr>
        <w:shd w:val="clear" w:color="auto" w:fill="E8F5E9"/>
      </w:pPr>
      <w:r>
        <w:rPr>
          <w:sz w:val="20"/>
        </w:rPr>
        <w:t>☐  Respondent incentives / honoraria</w:t>
      </w:r>
    </w:p>
    <w:p>
      <w:pPr>
        <w:shd w:val="clear" w:color="auto" w:fill="E8F5E9"/>
      </w:pPr>
      <w:r>
        <w:rPr>
          <w:sz w:val="20"/>
        </w:rPr>
        <w:t>☐  Data processing &amp; tabulation</w:t>
      </w:r>
    </w:p>
    <w:p>
      <w:pPr>
        <w:shd w:val="clear" w:color="auto" w:fill="E8F5E9"/>
      </w:pPr>
      <w:r>
        <w:rPr>
          <w:sz w:val="20"/>
        </w:rPr>
        <w:t>☐  Analysis &amp; reporting</w:t>
      </w:r>
    </w:p>
    <w:p>
      <w:pPr>
        <w:shd w:val="clear" w:color="auto" w:fill="E8F5E9"/>
      </w:pPr>
      <w:r>
        <w:rPr>
          <w:sz w:val="20"/>
        </w:rPr>
        <w:t>☐  Presentation (travel &amp; expenses itemized separately)</w:t>
      </w:r>
    </w:p>
    <w:p>
      <w:pPr>
        <w:shd w:val="clear" w:color="auto" w:fill="E8F5E9"/>
      </w:pPr>
      <w:r>
        <w:rPr>
          <w:sz w:val="20"/>
        </w:rPr>
        <w:t>☐  Project management overhead</w:t>
      </w:r>
    </w:p>
    <w:p>
      <w:pPr>
        <w:shd w:val="clear" w:color="auto" w:fill="E8F5E9"/>
      </w:pPr>
      <w:r>
        <w:rPr>
          <w:sz w:val="20"/>
        </w:rPr>
        <w:t>☐  Technology / platform costs</w:t>
      </w:r>
    </w:p>
    <w:p>
      <w:pPr>
        <w:shd w:val="clear" w:color="auto" w:fill="E8F5E9"/>
      </w:pPr>
      <w:r>
        <w:rPr>
          <w:sz w:val="20"/>
        </w:rPr>
        <w:t>☐  Translation / localization costs</w:t>
      </w:r>
    </w:p>
    <w:p>
      <w:pPr>
        <w:shd w:val="clear" w:color="auto" w:fill="E8F5E9"/>
      </w:pPr>
      <w:r>
        <w:rPr>
          <w:sz w:val="20"/>
        </w:rPr>
        <w:t>☐  Subcontractor pass-through costs (with markup disclosed)</w:t>
      </w:r>
    </w:p>
    <w:p/>
    <w:p>
      <w:pPr>
        <w:shd w:val="clear" w:color="auto" w:fill="E8F5E9"/>
      </w:pPr>
      <w:r>
        <w:rPr>
          <w:b/>
          <w:color w:val="1F2937"/>
          <w:sz w:val="22"/>
        </w:rPr>
        <w:t xml:space="preserve">Payment Terms: </w:t>
      </w:r>
      <w:r>
        <w:rPr>
          <w:color w:val="2E7D32"/>
          <w:sz w:val="22"/>
        </w:rPr>
      </w:r>
      <w:r>
        <w:rPr>
          <w:sz w:val="20"/>
        </w:rPr>
        <w:t>Remote detailing: virtual salesforce calls. This has allowed us to expand our reach using a form of ‘in-person’ calls in many markets. Currently we have very limited data/ evidence to demonstrate the performance of remote in terms of recommendation behaviour, and how/ whether it compares to F2F.</w:t>
        <w:br/>
        <w:t>[CL</w:t>
      </w:r>
    </w:p>
    <w:p>
      <w:pPr>
        <w:shd w:val="clear" w:color="auto" w:fill="FFF3E0"/>
      </w:pPr>
      <w:r>
        <w:rPr>
          <w:b/>
          <w:color w:val="1F2937"/>
          <w:sz w:val="22"/>
        </w:rPr>
        <w:t xml:space="preserve">Additional Cost Notes: </w:t>
      </w:r>
      <w:r>
        <w:rPr>
          <w:color w:val="DA365C"/>
          <w:sz w:val="22"/>
        </w:rPr>
      </w:r>
      <w:r>
        <w:rPr>
          <w:sz w:val="20"/>
        </w:rPr>
        <w:t>Incentives: all incentives paid to HCPs are subject to [CLIENT_ORG]’s Fair Market Value checks. Any incentive outside this limit must be reduced and the resulting saving should be discounted from the project cost. [CLIENT_ORG] are unable to supply agencies with the FMV schedules – this check takes place by the Knowledge Centre team and is managed by the Insights manager.</w:t>
        <w:br/>
        <w:t xml:space="preserve">Outline the project team available to support the global &amp; local teams, the number and level of staffing/ resource to support </w:t>
      </w:r>
    </w:p>
    <w:p>
      <w:r>
        <w:rPr>
          <w:i/>
          <w:color w:val="6B7280"/>
          <w:sz w:val="18"/>
        </w:rPr>
        <w:t xml:space="preserve">  Example: e.g., 'We retain the right to request receipts' | 'All honoraria must be clearly stated' | 'Out-of-pocket expenses require supporting documentation'</w:t>
      </w:r>
    </w:p>
    <w:p>
      <w:pPr>
        <w:shd w:val="clear" w:color="auto" w:fill="F3E5F5"/>
      </w:pPr>
      <w:r>
        <w:rPr>
          <w:i/>
          <w:color w:val="6B7280"/>
          <w:sz w:val="18"/>
        </w:rPr>
        <w:t>EXAMPLE (from RFP-A10): "Please show the costs for each piece of the research. Itemize: Project design/material design, Presentation at Princeton NJ (with anticipated expenses), Analysis &amp; in-person presentation. We retain the right to request receipts; all honoraria must be clearly stated." | EXAMPLE (from RFP-A12): "60% upfront, 40% upon completion. NET 120 days payment. Option pricing on additional countries/modalities must be included."</w:t>
      </w:r>
    </w:p>
    <w:p>
      <w:r>
        <w:br w:type="page"/>
      </w:r>
    </w:p>
    <w:p>
      <w:pPr>
        <w:pStyle w:val="Heading1"/>
      </w:pPr>
      <w:r>
        <w:t>12. Proposal Submission Requirements</w:t>
      </w:r>
    </w:p>
    <w:p>
      <w:pPr>
        <w:shd w:val="clear" w:color="auto" w:fill="E3F2FD"/>
      </w:pPr>
      <w:r>
        <w:rPr>
          <w:i/>
          <w:color w:val="01579B"/>
          <w:sz w:val="20"/>
        </w:rPr>
        <w:t>ℹ️  Tell vendors exactly what their proposal must contain and how to submit it.</w:t>
      </w:r>
    </w:p>
    <w:p>
      <w:r>
        <w:rPr>
          <w:b/>
        </w:rPr>
        <w:t>12.1 Required Proposal Components:</w:t>
      </w:r>
    </w:p>
    <w:p>
      <w:pPr>
        <w:shd w:val="clear" w:color="auto" w:fill="E8F5E9"/>
      </w:pPr>
      <w:r>
        <w:rPr>
          <w:sz w:val="20"/>
        </w:rPr>
        <w:t>☐  Executive Summary — overview of understanding and approach</w:t>
      </w:r>
    </w:p>
    <w:p>
      <w:pPr>
        <w:shd w:val="clear" w:color="auto" w:fill="E8F5E9"/>
      </w:pPr>
      <w:r>
        <w:rPr>
          <w:sz w:val="20"/>
        </w:rPr>
        <w:t>☐  Methodology — detailed approach, unique value proposition, points of differentiation</w:t>
      </w:r>
    </w:p>
    <w:p>
      <w:pPr>
        <w:shd w:val="clear" w:color="auto" w:fill="E8F5E9"/>
      </w:pPr>
      <w:r>
        <w:rPr>
          <w:sz w:val="20"/>
        </w:rPr>
        <w:t>☐  Analysis Plan — type of analysis, available norms/benchmarks</w:t>
      </w:r>
    </w:p>
    <w:p>
      <w:pPr>
        <w:shd w:val="clear" w:color="auto" w:fill="E8F5E9"/>
      </w:pPr>
      <w:r>
        <w:rPr>
          <w:sz w:val="20"/>
        </w:rPr>
        <w:t>☐  Detailed Timeline — project milestones and deliverables</w:t>
      </w:r>
    </w:p>
    <w:p>
      <w:pPr>
        <w:shd w:val="clear" w:color="auto" w:fill="E8F5E9"/>
      </w:pPr>
      <w:r>
        <w:rPr>
          <w:sz w:val="20"/>
        </w:rPr>
        <w:t>☐  Deliverables Description — all outputs (reports, data files, transcripts)</w:t>
      </w:r>
    </w:p>
    <w:p>
      <w:pPr>
        <w:shd w:val="clear" w:color="auto" w:fill="E8F5E9"/>
      </w:pPr>
      <w:r>
        <w:rPr>
          <w:sz w:val="20"/>
        </w:rPr>
        <w:t>☐  Pricing — transparent fee structure per cost breakdown template</w:t>
      </w:r>
    </w:p>
    <w:p>
      <w:pPr>
        <w:shd w:val="clear" w:color="auto" w:fill="E8F5E9"/>
      </w:pPr>
      <w:r>
        <w:rPr>
          <w:sz w:val="20"/>
        </w:rPr>
        <w:t>☐  Team &amp; Personnel — key contacts, qualifications, bios</w:t>
      </w:r>
    </w:p>
    <w:p>
      <w:pPr>
        <w:shd w:val="clear" w:color="auto" w:fill="E8F5E9"/>
      </w:pPr>
      <w:r>
        <w:rPr>
          <w:sz w:val="20"/>
        </w:rPr>
        <w:t>☐  Relevant Experience — case studies, similar projects</w:t>
      </w:r>
    </w:p>
    <w:p>
      <w:pPr>
        <w:shd w:val="clear" w:color="auto" w:fill="E8F5E9"/>
      </w:pPr>
      <w:r>
        <w:rPr>
          <w:sz w:val="20"/>
        </w:rPr>
        <w:t>☐  Rate Card / Discount Schedule</w:t>
      </w:r>
    </w:p>
    <w:p>
      <w:pPr>
        <w:shd w:val="clear" w:color="auto" w:fill="E8F5E9"/>
      </w:pPr>
      <w:r>
        <w:rPr>
          <w:sz w:val="20"/>
        </w:rPr>
        <w:t>☐  Response to PV obligations (pharma)</w:t>
      </w:r>
    </w:p>
    <w:p>
      <w:pPr>
        <w:shd w:val="clear" w:color="auto" w:fill="E8F5E9"/>
      </w:pPr>
      <w:r>
        <w:rPr>
          <w:sz w:val="20"/>
        </w:rPr>
        <w:t>☐  Response to CSR questionnaire</w:t>
      </w:r>
    </w:p>
    <w:p>
      <w:pPr>
        <w:shd w:val="clear" w:color="auto" w:fill="E8F5E9"/>
      </w:pPr>
      <w:r>
        <w:rPr>
          <w:sz w:val="20"/>
        </w:rPr>
        <w:t>☐  References</w:t>
      </w:r>
    </w:p>
    <w:p/>
    <w:p>
      <w:r>
        <w:rPr>
          <w:b/>
        </w:rPr>
        <w:t>12.2 Submission Details:</w:t>
      </w:r>
    </w:p>
    <w:p>
      <w:pPr>
        <w:shd w:val="clear" w:color="auto" w:fill="E8F5E9"/>
      </w:pPr>
      <w:r>
        <w:rPr>
          <w:b/>
          <w:color w:val="1F2937"/>
          <w:sz w:val="22"/>
        </w:rPr>
        <w:t xml:space="preserve">Submission Method: </w:t>
      </w:r>
      <w:r>
        <w:rPr>
          <w:color w:val="2E7D32"/>
          <w:sz w:val="22"/>
        </w:rPr>
      </w:r>
      <w:r>
        <w:rPr>
          <w:sz w:val="20"/>
        </w:rPr>
        <w:t>Local market budgets still TBC but we are aware that tracking needs have been captured in budget submissions.</w:t>
        <w:br/>
        <w:t>Please follow the costing template &amp; approach to costing by “tiers” of markets. We will review the cost proposals and, once the project is awarded and contracts negotiated, potentially offer to Local markets or regions, the option to self-fund in [YEAR] which could increase the [YEAR] scope and overall budget of the project.</w:t>
        <w:br/>
        <w:t>We are seeking a 3-year contract (minimum 2 years) for this program. Please specify any discounts available for the purchase of this term of contract, and/ or any volume discounts for levels of purchasing.</w:t>
      </w:r>
    </w:p>
    <w:p>
      <w:pPr>
        <w:shd w:val="clear" w:color="auto" w:fill="E8F5E9"/>
      </w:pPr>
      <w:r>
        <w:rPr>
          <w:b/>
          <w:color w:val="1F2937"/>
          <w:sz w:val="22"/>
        </w:rPr>
        <w:t xml:space="preserve">Submission Format: </w:t>
      </w:r>
      <w:r>
        <w:rPr>
          <w:color w:val="2E7D32"/>
          <w:sz w:val="22"/>
        </w:rPr>
      </w:r>
      <w:r>
        <w:rPr>
          <w:sz w:val="20"/>
        </w:rPr>
        <w:t>Local market budgets still TBC but we are aware that tracking needs have been captured in budget submissions.</w:t>
        <w:br/>
        <w:t>Please follow the costing template &amp; approach to costing by “tiers” of markets. We will review the cost proposals and, once the project is awarded and contracts negotiated, potentially offer to Local markets or regions, the option to self-fund in [YEAR] which could increase the [YEAR] scope and overall budget of the project.</w:t>
        <w:br/>
        <w:t>We are seeking a 3-year contract (minimum 2 years) for this program. Please specify any discounts available for the purchase of this term of contract, and/ or any volume discounts for levels of purchasing.</w:t>
      </w:r>
    </w:p>
    <w:p>
      <w:pPr>
        <w:shd w:val="clear" w:color="auto" w:fill="FFF3E0"/>
      </w:pPr>
      <w:r>
        <w:rPr>
          <w:b/>
          <w:color w:val="1F2937"/>
          <w:sz w:val="22"/>
        </w:rPr>
        <w:t xml:space="preserve">Submission Email / Portal URL: </w:t>
      </w:r>
      <w:r>
        <w:rPr>
          <w:color w:val="DA365C"/>
          <w:sz w:val="22"/>
        </w:rPr>
      </w:r>
      <w:r>
        <w:rPr>
          <w:sz w:val="20"/>
        </w:rPr>
        <w:t>Local market budgets still TBC but we are aware that tracking needs have been captured in budget submissions.</w:t>
        <w:br/>
        <w:t>Please follow the costing template &amp; approach to costing by “tiers” of markets. We will review the cost proposals and, once the project is awarded and contracts negotiated, potentially offer to Local markets or regions, the option to self-fund in [YEAR] which could increase the [YEAR] scope and overall budget of the project.</w:t>
        <w:br/>
        <w:t>We are seeking a 3-year contract (minimum 2 years) for this program. Please specify any discounts available for the purchase of this term of contract, and/ or any volume discounts for levels of purchasing.</w:t>
      </w:r>
    </w:p>
    <w:p>
      <w:r>
        <w:rPr>
          <w:i/>
          <w:color w:val="6B7280"/>
          <w:sz w:val="18"/>
        </w:rPr>
        <w:t xml:space="preserve">  Example: procurement@company.com or platform URL</w:t>
      </w:r>
    </w:p>
    <w:p>
      <w:pPr>
        <w:shd w:val="clear" w:color="auto" w:fill="F3E5F5"/>
      </w:pPr>
      <w:r>
        <w:rPr>
          <w:i/>
          <w:color w:val="6B7280"/>
          <w:sz w:val="18"/>
        </w:rPr>
        <w:t>EXAMPLE (from RFP-A13): "Complete all sections of the RFP. Incomplete proposals will not be considered. Submit: Business Solution Proposal (PowerPoint), Cost Estimate using provided cost breakdown, Response to PV obligations, Response to CSR questionnaire. Responses must be uploaded on E-sourcing platform AND sent directly to Procurement via email."</w:t>
      </w:r>
    </w:p>
    <w:p>
      <w:r>
        <w:br w:type="page"/>
      </w:r>
    </w:p>
    <w:p>
      <w:pPr>
        <w:pStyle w:val="Heading1"/>
      </w:pPr>
      <w:r>
        <w:t>13. Evaluation Criteria</w:t>
      </w:r>
    </w:p>
    <w:p>
      <w:pPr>
        <w:shd w:val="clear" w:color="auto" w:fill="E3F2FD"/>
      </w:pPr>
      <w:r>
        <w:rPr>
          <w:i/>
          <w:color w:val="01579B"/>
          <w:sz w:val="20"/>
        </w:rPr>
        <w:t>ℹ️  Define how proposals will be scored. Weights are optional but recommended for transparency.</w:t>
      </w:r>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Criterion</w:t>
            </w:r>
          </w:p>
        </w:tc>
        <w:tc>
          <w:tcPr>
            <w:tcW w:type="dxa" w:w="3135"/>
            <w:shd w:fill="1F2937"/>
          </w:tcPr>
          <w:p>
            <w:r/>
            <w:r>
              <w:rPr>
                <w:rFonts w:ascii="Inter" w:hAnsi="Inter"/>
                <w:b/>
                <w:color w:val="FFFFFF"/>
                <w:sz w:val="20"/>
              </w:rPr>
              <w:t>Weight (%)</w:t>
            </w:r>
          </w:p>
        </w:tc>
        <w:tc>
          <w:tcPr>
            <w:tcW w:type="dxa" w:w="3135"/>
            <w:shd w:fill="1F2937"/>
          </w:tcPr>
          <w:p>
            <w:r/>
            <w:r>
              <w:rPr>
                <w:rFonts w:ascii="Inter" w:hAnsi="Inter"/>
                <w:b/>
                <w:color w:val="FFFFFF"/>
                <w:sz w:val="20"/>
              </w:rPr>
              <w:t>Description</w:t>
            </w:r>
          </w:p>
        </w:tc>
      </w:tr>
      <w:tr>
        <w:tc>
          <w:tcPr>
            <w:tcW w:type="dxa" w:w="3135"/>
          </w:tcPr>
          <w:p>
            <w:r>
              <w:rPr>
                <w:sz w:val="20"/>
              </w:rPr>
              <w:t>Methodology &amp; Approach</w:t>
            </w:r>
          </w:p>
        </w:tc>
        <w:tc>
          <w:tcPr>
            <w:tcW w:type="dxa" w:w="3135"/>
            <w:shd w:fill="FFF3E0"/>
          </w:tcPr>
          <w:p>
            <w:r>
              <w:rPr>
                <w:color w:val="DA365C"/>
                <w:sz w:val="20"/>
              </w:rPr>
              <w:t>[XX%]</w:t>
            </w:r>
          </w:p>
        </w:tc>
        <w:tc>
          <w:tcPr>
            <w:tcW w:type="dxa" w:w="3135"/>
          </w:tcPr>
          <w:p>
            <w:r>
              <w:rPr>
                <w:sz w:val="20"/>
              </w:rPr>
              <w:t>Quality, rigor, innovation of proposed approach</w:t>
            </w:r>
          </w:p>
        </w:tc>
      </w:tr>
      <w:tr>
        <w:tc>
          <w:tcPr>
            <w:tcW w:type="dxa" w:w="3135"/>
          </w:tcPr>
          <w:p>
            <w:r>
              <w:rPr>
                <w:sz w:val="20"/>
              </w:rPr>
              <w:t>Relevant Experience</w:t>
            </w:r>
          </w:p>
        </w:tc>
        <w:tc>
          <w:tcPr>
            <w:tcW w:type="dxa" w:w="3135"/>
            <w:shd w:fill="FFF3E0"/>
          </w:tcPr>
          <w:p>
            <w:r>
              <w:rPr>
                <w:color w:val="DA365C"/>
                <w:sz w:val="20"/>
              </w:rPr>
              <w:t>[XX%]</w:t>
            </w:r>
          </w:p>
        </w:tc>
        <w:tc>
          <w:tcPr>
            <w:tcW w:type="dxa" w:w="3135"/>
          </w:tcPr>
          <w:p>
            <w:r>
              <w:rPr>
                <w:sz w:val="20"/>
              </w:rPr>
              <w:t>Track record in similar studies, therapeutic areas</w:t>
            </w:r>
          </w:p>
        </w:tc>
      </w:tr>
      <w:tr>
        <w:tc>
          <w:tcPr>
            <w:tcW w:type="dxa" w:w="3135"/>
          </w:tcPr>
          <w:p>
            <w:r>
              <w:rPr>
                <w:sz w:val="20"/>
              </w:rPr>
              <w:t>Team &amp; Capabilities</w:t>
            </w:r>
          </w:p>
        </w:tc>
        <w:tc>
          <w:tcPr>
            <w:tcW w:type="dxa" w:w="3135"/>
            <w:shd w:fill="FFF3E0"/>
          </w:tcPr>
          <w:p>
            <w:r>
              <w:rPr>
                <w:color w:val="DA365C"/>
                <w:sz w:val="20"/>
              </w:rPr>
              <w:t>[XX%]</w:t>
            </w:r>
          </w:p>
        </w:tc>
        <w:tc>
          <w:tcPr>
            <w:tcW w:type="dxa" w:w="3135"/>
          </w:tcPr>
          <w:p>
            <w:r>
              <w:rPr>
                <w:sz w:val="20"/>
              </w:rPr>
              <w:t>Qualifications, geographic coverage, panel access</w:t>
            </w:r>
          </w:p>
        </w:tc>
      </w:tr>
      <w:tr>
        <w:tc>
          <w:tcPr>
            <w:tcW w:type="dxa" w:w="3135"/>
          </w:tcPr>
          <w:p>
            <w:r>
              <w:rPr>
                <w:sz w:val="20"/>
              </w:rPr>
              <w:t>Cost / Value</w:t>
            </w:r>
          </w:p>
        </w:tc>
        <w:tc>
          <w:tcPr>
            <w:tcW w:type="dxa" w:w="3135"/>
            <w:shd w:fill="FFF3E0"/>
          </w:tcPr>
          <w:p>
            <w:r>
              <w:rPr>
                <w:color w:val="DA365C"/>
                <w:sz w:val="20"/>
              </w:rPr>
              <w:t>[XX%]</w:t>
            </w:r>
          </w:p>
        </w:tc>
        <w:tc>
          <w:tcPr>
            <w:tcW w:type="dxa" w:w="3135"/>
          </w:tcPr>
          <w:p>
            <w:r>
              <w:rPr>
                <w:sz w:val="20"/>
              </w:rPr>
              <w:t>Competitiveness, transparency, cost-efficiency</w:t>
            </w:r>
          </w:p>
        </w:tc>
      </w:tr>
      <w:tr>
        <w:tc>
          <w:tcPr>
            <w:tcW w:type="dxa" w:w="3135"/>
          </w:tcPr>
          <w:p>
            <w:r>
              <w:rPr>
                <w:sz w:val="20"/>
              </w:rPr>
              <w:t>Timeline Feasibility</w:t>
            </w:r>
          </w:p>
        </w:tc>
        <w:tc>
          <w:tcPr>
            <w:tcW w:type="dxa" w:w="3135"/>
            <w:shd w:fill="FFF3E0"/>
          </w:tcPr>
          <w:p>
            <w:r>
              <w:rPr>
                <w:color w:val="DA365C"/>
                <w:sz w:val="20"/>
              </w:rPr>
              <w:t>[XX%]</w:t>
            </w:r>
          </w:p>
        </w:tc>
        <w:tc>
          <w:tcPr>
            <w:tcW w:type="dxa" w:w="3135"/>
          </w:tcPr>
          <w:p>
            <w:r>
              <w:rPr>
                <w:sz w:val="20"/>
              </w:rPr>
              <w:t>Ability to meet required milestones</w:t>
            </w:r>
          </w:p>
        </w:tc>
      </w:tr>
      <w:tr>
        <w:tc>
          <w:tcPr>
            <w:tcW w:type="dxa" w:w="3135"/>
          </w:tcPr>
          <w:p>
            <w:r>
              <w:rPr>
                <w:sz w:val="20"/>
              </w:rPr>
              <w:t>Data Quality &amp; Reporting</w:t>
            </w:r>
          </w:p>
        </w:tc>
        <w:tc>
          <w:tcPr>
            <w:tcW w:type="dxa" w:w="3135"/>
            <w:shd w:fill="FFF3E0"/>
          </w:tcPr>
          <w:p>
            <w:r>
              <w:rPr>
                <w:color w:val="DA365C"/>
                <w:sz w:val="20"/>
              </w:rPr>
              <w:t>[XX%]</w:t>
            </w:r>
          </w:p>
        </w:tc>
        <w:tc>
          <w:tcPr>
            <w:tcW w:type="dxa" w:w="3135"/>
          </w:tcPr>
          <w:p>
            <w:r>
              <w:rPr>
                <w:sz w:val="20"/>
              </w:rPr>
              <w:t>Analytical rigor, reporting format, actionability</w:t>
            </w:r>
          </w:p>
        </w:tc>
      </w:tr>
      <w:tr>
        <w:tc>
          <w:tcPr>
            <w:tcW w:type="dxa" w:w="3135"/>
          </w:tcPr>
          <w:p>
            <w:r>
              <w:rPr>
                <w:sz w:val="20"/>
              </w:rPr>
              <w:t>Client Service &amp; Partnership</w:t>
            </w:r>
          </w:p>
        </w:tc>
        <w:tc>
          <w:tcPr>
            <w:tcW w:type="dxa" w:w="3135"/>
            <w:shd w:fill="FFF3E0"/>
          </w:tcPr>
          <w:p>
            <w:r>
              <w:rPr>
                <w:color w:val="DA365C"/>
                <w:sz w:val="20"/>
              </w:rPr>
              <w:t>[XX%]</w:t>
            </w:r>
          </w:p>
        </w:tc>
        <w:tc>
          <w:tcPr>
            <w:tcW w:type="dxa" w:w="3135"/>
          </w:tcPr>
          <w:p>
            <w:r>
              <w:rPr>
                <w:sz w:val="20"/>
              </w:rPr>
              <w:t>Responsiveness, proactive collaboration</w:t>
            </w:r>
          </w:p>
        </w:tc>
      </w:tr>
    </w:tbl>
    <w:p>
      <w:r>
        <w:br w:type="page"/>
      </w:r>
    </w:p>
    <w:p>
      <w:pPr>
        <w:pStyle w:val="Heading1"/>
      </w:pPr>
      <w:r>
        <w:t>14. Communication Procedures</w:t>
      </w:r>
    </w:p>
    <w:p>
      <w:pPr>
        <w:shd w:val="clear" w:color="auto" w:fill="E3F2FD"/>
      </w:pPr>
      <w:r>
        <w:rPr>
          <w:i/>
          <w:color w:val="01579B"/>
          <w:sz w:val="20"/>
        </w:rPr>
        <w:t>ℹ️  Establish rules of engagement for the RFP process.</w:t>
      </w:r>
    </w:p>
    <w:p>
      <w:pPr>
        <w:shd w:val="clear" w:color="auto" w:fill="FFF3E0"/>
      </w:pPr>
      <w:r>
        <w:rPr>
          <w:color w:val="DA365C"/>
        </w:rPr>
      </w:r>
      <w:r>
        <w:rPr>
          <w:sz w:val="20"/>
        </w:rPr>
        <w:t>Claims support for Oral Health (legal support; written into subsequent MSA)</w:t>
        <w:br/>
        <w:t>Drivers of recommendation:</w:t>
        <w:br/>
        <w:t>brand equity</w:t>
        <w:br/>
        <w:t>channel/ content attribution to reco behaviour</w:t>
        <w:br/>
        <w:t>Data &amp; reporting provision</w:t>
        <w:br/>
        <w:t>Brand-audience-market matrix outlining audiences, categories and markets to track – prioritised and tiered</w:t>
        <w:br/>
        <w:t>Project management requirements &amp; resourcing</w:t>
        <w:br/>
        <w:t>Discovery phase (validation/ parallel) projects early Q1 [YEAR]</w:t>
        <w:br/>
        <w:t>Contract length: 3 year contract term for the program</w:t>
        <w:br/>
        <w:t>Please do:</w:t>
      </w:r>
    </w:p>
    <w:p>
      <w:pPr>
        <w:shd w:val="clear" w:color="auto" w:fill="FFF3E0"/>
      </w:pPr>
      <w:r>
        <w:rPr>
          <w:b/>
          <w:color w:val="1F2937"/>
          <w:sz w:val="22"/>
        </w:rPr>
        <w:t xml:space="preserve">Number of Vendors Being Solicited: </w:t>
      </w:r>
      <w:r>
        <w:rPr>
          <w:color w:val="DA365C"/>
          <w:sz w:val="22"/>
        </w:rPr>
      </w:r>
      <w:r>
        <w:rPr>
          <w:sz w:val="20"/>
        </w:rPr>
        <w:t>Critical: Vendors are not expected to respond to all elements of the program if an element/s is outside their core research or data competencies. [CLIENT_ORG] reserves the right to award different elements of the EPT study to different agency partners, should this provide us with a clear advantage i</w:t>
      </w:r>
    </w:p>
    <w:p>
      <w:r>
        <w:rPr>
          <w:i/>
          <w:color w:val="6B7280"/>
          <w:sz w:val="18"/>
        </w:rPr>
        <w:t xml:space="preserve">  Example: e.g., 'At least three (3) marketing research agencies'</w:t>
      </w:r>
    </w:p>
    <w:p>
      <w:pPr>
        <w:shd w:val="clear" w:color="auto" w:fill="FFF3E0"/>
      </w:pPr>
      <w:r>
        <w:rPr>
          <w:b/>
          <w:color w:val="1F2937"/>
          <w:sz w:val="22"/>
        </w:rPr>
        <w:t xml:space="preserve">Q&amp;A Deadline: </w:t>
      </w:r>
      <w:r>
        <w:rPr>
          <w:color w:val="DA365C"/>
          <w:sz w:val="22"/>
        </w:rPr>
      </w:r>
      <w:r>
        <w:rPr>
          <w:sz w:val="20"/>
        </w:rPr>
        <w:t>As examples, some of the big business questions from the investment decision-makers are: Does a digital only strategy work to drive recommendations? Is OTC Expert as effective as Oral Health Expert? How much does digital drive recommendations and how does that compare to F2F? How much does each chan</w:t>
      </w:r>
    </w:p>
    <w:p>
      <w:r>
        <w:rPr>
          <w:i/>
          <w:color w:val="6B7280"/>
          <w:sz w:val="18"/>
        </w:rPr>
        <w:t xml:space="preserve">  Example: Date by which vendor questions must be submitted</w:t>
      </w:r>
    </w:p>
    <w:p>
      <w:pPr>
        <w:shd w:val="clear" w:color="auto" w:fill="FFF3E0"/>
      </w:pPr>
      <w:r>
        <w:rPr>
          <w:b/>
          <w:color w:val="1F2937"/>
          <w:sz w:val="22"/>
        </w:rPr>
        <w:t xml:space="preserve">Q&amp;A Response Date: </w:t>
      </w:r>
      <w:r>
        <w:rPr>
          <w:color w:val="DA365C"/>
          <w:sz w:val="22"/>
        </w:rPr>
      </w:r>
      <w:r>
        <w:rPr>
          <w:sz w:val="20"/>
        </w:rPr>
        <w:t>Where specific dates are listed, please assume time zone is GMT (UK).</w:t>
        <w:br/>
        <w:t>Background: [CLIENT_ORG] Consumer Healthcare Expert Strategy</w:t>
        <w:br/>
        <w:t xml:space="preserve">Our overall ambition is to drive sales by being the most trusted and </w:t>
      </w:r>
    </w:p>
    <w:p>
      <w:r>
        <w:rPr>
          <w:i/>
          <w:color w:val="6B7280"/>
          <w:sz w:val="18"/>
        </w:rPr>
        <w:t xml:space="preserve">  Example: Date by which responses will be posted</w:t>
      </w:r>
    </w:p>
    <w:p/>
    <w:p>
      <w:r>
        <w:rPr>
          <w:b/>
        </w:rPr>
        <w:t>RFP Contacts: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2937"/>
          </w:tcPr>
          <w:p>
            <w:r/>
            <w:r>
              <w:rPr>
                <w:rFonts w:ascii="Inter" w:hAnsi="Inter"/>
                <w:b/>
                <w:color w:val="FFFFFF"/>
                <w:sz w:val="20"/>
              </w:rPr>
              <w:t>Role</w:t>
            </w:r>
          </w:p>
        </w:tc>
        <w:tc>
          <w:tcPr>
            <w:tcW w:type="dxa" w:w="2351"/>
            <w:shd w:fill="1F2937"/>
          </w:tcPr>
          <w:p>
            <w:r/>
            <w:r>
              <w:rPr>
                <w:rFonts w:ascii="Inter" w:hAnsi="Inter"/>
                <w:b/>
                <w:color w:val="FFFFFF"/>
                <w:sz w:val="20"/>
              </w:rPr>
              <w:t>Name</w:t>
            </w:r>
          </w:p>
        </w:tc>
        <w:tc>
          <w:tcPr>
            <w:tcW w:type="dxa" w:w="2351"/>
            <w:shd w:fill="1F2937"/>
          </w:tcPr>
          <w:p>
            <w:r/>
            <w:r>
              <w:rPr>
                <w:rFonts w:ascii="Inter" w:hAnsi="Inter"/>
                <w:b/>
                <w:color w:val="FFFFFF"/>
                <w:sz w:val="20"/>
              </w:rPr>
              <w:t>Title</w:t>
            </w:r>
          </w:p>
        </w:tc>
        <w:tc>
          <w:tcPr>
            <w:tcW w:type="dxa" w:w="2351"/>
            <w:shd w:fill="1F2937"/>
          </w:tcPr>
          <w:p>
            <w:r/>
            <w:r>
              <w:rPr>
                <w:rFonts w:ascii="Inter" w:hAnsi="Inter"/>
                <w:b/>
                <w:color w:val="FFFFFF"/>
                <w:sz w:val="20"/>
              </w:rPr>
              <w:t>Email</w:t>
            </w:r>
          </w:p>
        </w:tc>
      </w:tr>
      <w:tr>
        <w:tc>
          <w:tcPr>
            <w:tcW w:type="dxa" w:w="2351"/>
          </w:tcPr>
          <w:p>
            <w:r>
              <w:rPr>
                <w:sz w:val="20"/>
              </w:rPr>
              <w:t>Procurement Lead</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r>
        <w:tc>
          <w:tcPr>
            <w:tcW w:type="dxa" w:w="2351"/>
          </w:tcPr>
          <w:p>
            <w:r>
              <w:rPr>
                <w:sz w:val="20"/>
              </w:rPr>
              <w:t>Business Sponsor</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r>
        <w:tc>
          <w:tcPr>
            <w:tcW w:type="dxa" w:w="2351"/>
          </w:tcPr>
          <w:p>
            <w:r>
              <w:rPr>
                <w:sz w:val="20"/>
              </w:rPr>
              <w:t>Technical / Scientific Lead</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bl>
    <w:p>
      <w:r>
        <w:br w:type="page"/>
      </w:r>
    </w:p>
    <w:p>
      <w:pPr>
        <w:pStyle w:val="Heading1"/>
      </w:pPr>
      <w:r>
        <w:t>15. Corporate Policies &amp; Compliance</w:t>
      </w:r>
    </w:p>
    <w:p>
      <w:pPr>
        <w:shd w:val="clear" w:color="auto" w:fill="E3F2FD"/>
      </w:pPr>
      <w:r>
        <w:rPr>
          <w:i/>
          <w:color w:val="01579B"/>
          <w:sz w:val="20"/>
        </w:rPr>
        <w:t>ℹ️  Include any standing corporate policies that apply. Select all applicable items. Delete what doesn't apply.</w:t>
      </w:r>
    </w:p>
    <w:p>
      <w:pPr>
        <w:shd w:val="clear" w:color="auto" w:fill="E8F5E9"/>
      </w:pPr>
      <w:r>
        <w:rPr>
          <w:sz w:val="20"/>
        </w:rPr>
        <w:t>☐  Minimum of 3 agencies solicited for competitive tender</w:t>
      </w:r>
    </w:p>
    <w:p>
      <w:pPr>
        <w:shd w:val="clear" w:color="auto" w:fill="E8F5E9"/>
      </w:pPr>
      <w:r>
        <w:rPr>
          <w:sz w:val="20"/>
        </w:rPr>
        <w:t>☐  Vendor must execute confidentiality agreement or MSA</w:t>
      </w:r>
    </w:p>
    <w:p>
      <w:pPr>
        <w:shd w:val="clear" w:color="auto" w:fill="E8F5E9"/>
      </w:pPr>
      <w:r>
        <w:rPr>
          <w:sz w:val="20"/>
        </w:rPr>
        <w:t>☐  Comply with CASRO / ESOMAR / BHBIA / local MR association guidelines</w:t>
      </w:r>
    </w:p>
    <w:p>
      <w:pPr>
        <w:shd w:val="clear" w:color="auto" w:fill="E8F5E9"/>
      </w:pPr>
      <w:r>
        <w:rPr>
          <w:sz w:val="20"/>
        </w:rPr>
        <w:t>☐  GDPR / data privacy compliance required</w:t>
      </w:r>
    </w:p>
    <w:p>
      <w:pPr>
        <w:shd w:val="clear" w:color="auto" w:fill="E8F5E9"/>
      </w:pPr>
      <w:r>
        <w:rPr>
          <w:sz w:val="20"/>
        </w:rPr>
        <w:t>☐  All recruitment materials must comply with fair balance / regulatory requirements</w:t>
      </w:r>
    </w:p>
    <w:p>
      <w:pPr>
        <w:shd w:val="clear" w:color="auto" w:fill="E8F5E9"/>
      </w:pPr>
      <w:r>
        <w:rPr>
          <w:sz w:val="20"/>
        </w:rPr>
        <w:t>☐  All documentation shown to respondents must be reviewed by [CLIENT_ORG] Legal/Medical/Compliance</w:t>
      </w:r>
    </w:p>
    <w:p>
      <w:pPr>
        <w:shd w:val="clear" w:color="auto" w:fill="E8F5E9"/>
      </w:pPr>
      <w:r>
        <w:rPr>
          <w:sz w:val="20"/>
        </w:rPr>
        <w:t>☐  Adverse event reporting protocol must be followed</w:t>
      </w:r>
    </w:p>
    <w:p>
      <w:pPr>
        <w:shd w:val="clear" w:color="auto" w:fill="E8F5E9"/>
      </w:pPr>
      <w:r>
        <w:rPr>
          <w:sz w:val="20"/>
        </w:rPr>
        <w:t>☐  Vendor must carry Professional Liability / E&amp;O insurance</w:t>
      </w:r>
    </w:p>
    <w:p>
      <w:pPr>
        <w:shd w:val="clear" w:color="auto" w:fill="E8F5E9"/>
      </w:pPr>
      <w:r>
        <w:rPr>
          <w:sz w:val="20"/>
        </w:rPr>
        <w:t>☐  Subcontractor use must be disclosed and approved</w:t>
      </w:r>
    </w:p>
    <w:p>
      <w:pPr>
        <w:shd w:val="clear" w:color="auto" w:fill="F3E5F5"/>
      </w:pPr>
      <w:r>
        <w:rPr>
          <w:i/>
          <w:color w:val="6B7280"/>
          <w:sz w:val="18"/>
        </w:rPr>
        <w:t>EXAMPLE (from RFP-A10): "An additional requirement for all research is to ensure that all documentation (screener, fieldwork materials) sent or shown to respondents is reviewed by Legal/Medical/Compliance before use." | EXAMPLE (from RFP-A12): "Research agencies must comply with CASRO guidelines. NET 120 days payment unless otherwise negotiated."</w:t>
      </w:r>
    </w:p>
    <w:p>
      <w:r>
        <w:br w:type="page"/>
      </w:r>
    </w:p>
    <w:p>
      <w:pPr>
        <w:pStyle w:val="Heading1"/>
      </w:pPr>
      <w:r>
        <w:t>Appendices</w:t>
      </w:r>
    </w:p>
    <w:p>
      <w:pPr>
        <w:shd w:val="clear" w:color="auto" w:fill="E3F2FD"/>
      </w:pPr>
      <w:r>
        <w:rPr>
          <w:i/>
          <w:color w:val="01579B"/>
          <w:sz w:val="20"/>
        </w:rPr>
        <w:t>ℹ️  Add any supplementary materials here. Common appendices from example RFPs include:</w:t>
      </w:r>
    </w:p>
    <w:p>
      <w:pPr>
        <w:shd w:val="clear" w:color="auto" w:fill="E8F5E9"/>
      </w:pPr>
      <w:r>
        <w:rPr>
          <w:sz w:val="20"/>
        </w:rPr>
        <w:t>☐  Appendix A: Brand-Audience-Market Matrix (see TEMPLATE.xlsx)</w:t>
      </w:r>
    </w:p>
    <w:p>
      <w:pPr>
        <w:shd w:val="clear" w:color="auto" w:fill="E8F5E9"/>
      </w:pPr>
      <w:r>
        <w:rPr>
          <w:sz w:val="20"/>
        </w:rPr>
        <w:t>☐  Appendix B: Cost Breakdown Template (see TEMPLATE.xlsx)</w:t>
      </w:r>
    </w:p>
    <w:p>
      <w:pPr>
        <w:shd w:val="clear" w:color="auto" w:fill="E8F5E9"/>
      </w:pPr>
      <w:r>
        <w:rPr>
          <w:sz w:val="20"/>
        </w:rPr>
        <w:t>☐  Appendix C: Product/Category Definitions</w:t>
      </w:r>
    </w:p>
    <w:p>
      <w:pPr>
        <w:shd w:val="clear" w:color="auto" w:fill="E8F5E9"/>
      </w:pPr>
      <w:r>
        <w:rPr>
          <w:sz w:val="20"/>
        </w:rPr>
        <w:t>☐  Appendix D: Current Program Assessment (for tracking RFPs)</w:t>
      </w:r>
    </w:p>
    <w:p>
      <w:pPr>
        <w:shd w:val="clear" w:color="auto" w:fill="E8F5E9"/>
      </w:pPr>
      <w:r>
        <w:rPr>
          <w:sz w:val="20"/>
        </w:rPr>
        <w:t>☐  Appendix E: Therapeutic Area Specifications</w:t>
      </w:r>
    </w:p>
    <w:p>
      <w:pPr>
        <w:shd w:val="clear" w:color="auto" w:fill="E8F5E9"/>
      </w:pPr>
      <w:r>
        <w:rPr>
          <w:sz w:val="20"/>
        </w:rPr>
        <w:t>☐  Appendix F: Vendor Capability Questionnaire (see TEMPLATE.xlsx)</w:t>
      </w:r>
    </w:p>
    <w:sectPr w:rsidR="00FC693F" w:rsidRPr="0006063C" w:rsidSect="00034616">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4B5563"/>
        <w:sz w:val="16"/>
      </w:rPr>
      <w:t>CONFIDENTIAL — PetaSight RFP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1F2937"/>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1F293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1F293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