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jc w:val="center"/>
      </w:pPr>
      <w:r>
        <w:rPr>
          <w:rFonts w:ascii="Inter" w:hAnsi="Inter"/>
          <w:b/>
          <w:color w:val="DA365C"/>
          <w:sz w:val="48"/>
        </w:rPr>
        <w:t>REQUEST FOR PROPOSAL</w:t>
      </w:r>
    </w:p>
    <w:p/>
    <w:p>
      <w:pPr>
        <w:jc w:val="center"/>
      </w:pPr>
      <w:r>
        <w:rPr>
          <w:rFonts w:ascii="Inter" w:hAnsi="Inter"/>
          <w:b/>
          <w:color w:val="1F2937"/>
          <w:sz w:val="36"/>
        </w:rPr>
        <w:t>Pilot Research Study for BRAND_A</w:t>
      </w:r>
    </w:p>
    <w:p/>
    <w:p>
      <w:pPr>
        <w:jc w:val="center"/>
      </w:pPr>
      <w:r>
        <w:rPr>
          <w:rFonts w:ascii="Inter" w:hAnsi="Inter"/>
          <w:color w:val="4F73CD"/>
          <w:sz w:val="28"/>
        </w:rPr>
        <w:t>Methodology: Diary Study + Pre-Post Test/Control</w:t>
      </w:r>
    </w:p>
    <w:p/>
    <w:p/>
    <w:p>
      <w:pPr>
        <w:jc w:val="center"/>
      </w:pPr>
      <w:r>
        <w:rPr>
          <w:rFonts w:ascii="Inter" w:hAnsi="Inter"/>
          <w:color w:val="1F2937"/>
          <w:sz w:val="24"/>
        </w:rPr>
        <w:t>Date: March 2026</w:t>
      </w:r>
    </w:p>
    <w:p/>
    <w:p>
      <w:pPr>
        <w:jc w:val="center"/>
      </w:pPr>
      <w:r>
        <w:rPr>
          <w:rFonts w:ascii="Inter" w:hAnsi="Inter"/>
          <w:b/>
          <w:color w:val="DA365C"/>
          <w:sz w:val="24"/>
        </w:rPr>
        <w:t>CONFIDENTIAL</w:t>
      </w:r>
    </w:p>
    <w:p>
      <w:r>
        <w:br w:type="page"/>
      </w:r>
    </w:p>
    <w:p>
      <w:pPr>
        <w:jc w:val="left"/>
      </w:pPr>
      <w:r>
        <w:rPr>
          <w:rFonts w:ascii="Inter" w:hAnsi="Inter"/>
          <w:b/>
          <w:color w:val="DA365C"/>
          <w:sz w:val="32"/>
        </w:rPr>
        <w:t>1. Contact &amp; Issuer Information</w:t>
      </w:r>
    </w:p>
    <w:p>
      <w:pPr>
        <w:jc w:val="left"/>
      </w:pPr>
      <w:r>
        <w:rPr>
          <w:rFonts w:ascii="Inter" w:hAnsi="Inter"/>
          <w:b w:val="0"/>
          <w:color w:val="1F2937"/>
          <w:sz w:val="22"/>
        </w:rPr>
        <w:t>Primary Contact:</w:t>
      </w:r>
    </w:p>
    <w:p>
      <w:pPr>
        <w:jc w:val="left"/>
      </w:pPr>
      <w:r>
        <w:rPr>
          <w:rFonts w:ascii="Inter" w:hAnsi="Inter"/>
          <w:b w:val="0"/>
          <w:color w:val="1F2937"/>
          <w:sz w:val="22"/>
        </w:rPr>
        <w:t>Tessa Mallory, Associate Director, Global Market Research</w:t>
      </w:r>
    </w:p>
    <w:p>
      <w:pPr>
        <w:jc w:val="left"/>
      </w:pPr>
      <w:r>
        <w:rPr>
          <w:rFonts w:ascii="Inter" w:hAnsi="Inter"/>
          <w:b w:val="0"/>
          <w:color w:val="1F2937"/>
          <w:sz w:val="22"/>
        </w:rPr>
        <w:t>Zephora, Companion Animal Team</w:t>
      </w:r>
    </w:p>
    <w:p>
      <w:pPr>
        <w:jc w:val="left"/>
      </w:pPr>
      <w:r>
        <w:rPr>
          <w:rFonts w:ascii="Inter" w:hAnsi="Inter"/>
          <w:b w:val="0"/>
          <w:color w:val="1F2937"/>
          <w:sz w:val="22"/>
        </w:rPr>
        <w:t>200 Innovation Way, 4th Floor</w:t>
      </w:r>
    </w:p>
    <w:p>
      <w:pPr>
        <w:jc w:val="left"/>
      </w:pPr>
      <w:r>
        <w:rPr>
          <w:rFonts w:ascii="Inter" w:hAnsi="Inter"/>
          <w:b w:val="0"/>
          <w:color w:val="1F2937"/>
          <w:sz w:val="22"/>
        </w:rPr>
        <w:t>Princeton, NJ 08540</w:t>
      </w:r>
    </w:p>
    <w:p/>
    <w:p>
      <w:pPr>
        <w:jc w:val="left"/>
      </w:pPr>
      <w:r>
        <w:rPr>
          <w:rFonts w:ascii="Inter" w:hAnsi="Inter"/>
          <w:b/>
          <w:color w:val="DA365C"/>
          <w:sz w:val="32"/>
        </w:rPr>
        <w:t>2. Introduction &amp; Company Overview</w:t>
      </w:r>
    </w:p>
    <w:p>
      <w:pPr>
        <w:jc w:val="left"/>
      </w:pPr>
      <w:r>
        <w:rPr>
          <w:rFonts w:ascii="Inter" w:hAnsi="Inter"/>
          <w:b w:val="0"/>
          <w:color w:val="1F2937"/>
          <w:sz w:val="22"/>
        </w:rPr>
        <w:t>Zephora is a leading pharmaceutical company in the companion animal health sector. We are seeking research partners to conduct a pilot study for our novel drug BRAND_A, which was recently launched for the control of pruritus associated with allergic dermatitis and atopic dermatitis in dogs.</w:t>
      </w:r>
    </w:p>
    <w:p/>
    <w:p>
      <w:pPr>
        <w:jc w:val="left"/>
      </w:pPr>
      <w:r>
        <w:rPr>
          <w:rFonts w:ascii="Inter" w:hAnsi="Inter"/>
          <w:b/>
          <w:color w:val="DA365C"/>
          <w:sz w:val="32"/>
        </w:rPr>
        <w:t>3. Confidentiality &amp; Legal Terms</w:t>
      </w:r>
    </w:p>
    <w:p>
      <w:pPr>
        <w:jc w:val="left"/>
      </w:pPr>
      <w:r>
        <w:rPr>
          <w:rFonts w:ascii="Inter" w:hAnsi="Inter"/>
          <w:b w:val="0"/>
          <w:color w:val="1F2937"/>
          <w:sz w:val="22"/>
        </w:rPr>
        <w:t>This RFP and all associated information are confidential and proprietary to Zephora. All vendors must maintain strict confidentiality regarding the contents of this RFP and any related discussions.</w:t>
      </w:r>
    </w:p>
    <w:p>
      <w:pPr>
        <w:jc w:val="left"/>
      </w:pPr>
      <w:r>
        <w:t>All recruitment materials and documentation sent or shown to respondents must be approved by the Zephora contact. An additional requirement for all research with Zephora is to ensure that all documentation (as well as screener, fieldwork materials) sent or shown to respondents on behalf of Zephora for the collection of data has been reviewed and approved by the Zephora contact, including faxes used by sub-contracted recruitment agencies.</w:t>
      </w:r>
    </w:p>
    <w:p/>
    <w:p>
      <w:pPr>
        <w:jc w:val="left"/>
      </w:pPr>
      <w:r>
        <w:rPr>
          <w:rFonts w:ascii="Inter" w:hAnsi="Inter"/>
          <w:b/>
          <w:color w:val="DA365C"/>
          <w:sz w:val="32"/>
        </w:rPr>
        <w:t>4. Project Background &amp; Context</w:t>
      </w:r>
    </w:p>
    <w:p>
      <w:pPr>
        <w:jc w:val="left"/>
      </w:pPr>
      <w:r>
        <w:rPr>
          <w:rFonts w:ascii="Inter" w:hAnsi="Inter"/>
          <w:b w:val="0"/>
          <w:color w:val="1F2937"/>
          <w:sz w:val="22"/>
        </w:rPr>
        <w:t>In 2014, Zephora launched BRAND_A, a novel drug indicated for the control of pruritus associated with allergic dermatitis and the control of atopic dermatitis in dogs. BRAND_A can be used across acute, seasonal and chronic pruritic cases.</w:t>
      </w:r>
    </w:p>
    <w:p>
      <w:pPr>
        <w:jc w:val="left"/>
      </w:pPr>
      <w:r>
        <w:rPr>
          <w:rFonts w:ascii="Inter" w:hAnsi="Inter"/>
          <w:b w:val="0"/>
          <w:color w:val="1F2937"/>
          <w:sz w:val="22"/>
        </w:rPr>
        <w:t>Zephora sells directly to veterinary clinics and the general practice veterinarian is the key target audience.</w:t>
      </w:r>
    </w:p>
    <w:p>
      <w:pPr>
        <w:jc w:val="left"/>
      </w:pPr>
      <w:r>
        <w:t>Demand for BRAND_A far exceeded supply of the product and within a few weeks after launch the product was only available to select customers under an allocation plan. Purchases of BRAND_A are limited to 2 bottles (30ct) per clinic per month. Approximately 6,000 clinics currently purchase BRAND_A.</w:t>
      </w:r>
    </w:p>
    <w:p>
      <w:pPr>
        <w:jc w:val="left"/>
      </w:pPr>
      <w:r>
        <w:rPr>
          <w:rFonts w:ascii="Inter" w:hAnsi="Inter"/>
          <w:b w:val="0"/>
          <w:color w:val="1F2937"/>
          <w:sz w:val="22"/>
        </w:rPr>
        <w:t>Zephora would like to select 30 clinics (~100-150 veterinarians) to participate in a pilot study.</w:t>
      </w:r>
    </w:p>
    <w:p/>
    <w:p>
      <w:pPr>
        <w:jc w:val="left"/>
      </w:pPr>
      <w:r>
        <w:rPr>
          <w:rFonts w:ascii="Inter" w:hAnsi="Inter"/>
          <w:b/>
          <w:color w:val="DA365C"/>
          <w:sz w:val="32"/>
        </w:rPr>
        <w:t>5. Business &amp; Research Objectives</w:t>
      </w:r>
    </w:p>
    <w:p>
      <w:pPr>
        <w:jc w:val="left"/>
      </w:pPr>
      <w:r>
        <w:rPr>
          <w:rFonts w:ascii="Inter" w:hAnsi="Inter"/>
          <w:b/>
          <w:color w:val="1F2937"/>
          <w:sz w:val="22"/>
        </w:rPr>
        <w:t>Business Objective:</w:t>
      </w:r>
    </w:p>
    <w:p>
      <w:pPr>
        <w:jc w:val="left"/>
      </w:pPr>
      <w:r>
        <w:t>Business Objective:</w:t>
        <w:br/>
        <w:t>Understand purchasing behavior and usage of BRAND_A without supply constraints to validate forecasting and purchasing assumptions. Zephora will be providing manufacturer sales for test/control groups AND retail sales information. Monthly historical purchases will need to be collected for the 6-month period leading up to the pilot to serve as the pre-test data.</w:t>
      </w:r>
    </w:p>
    <w:p/>
    <w:p>
      <w:pPr>
        <w:jc w:val="left"/>
      </w:pPr>
      <w:r>
        <w:rPr>
          <w:rFonts w:ascii="Inter" w:hAnsi="Inter"/>
          <w:b/>
          <w:color w:val="1F2937"/>
          <w:sz w:val="22"/>
        </w:rPr>
        <w:t>Research Objectives:</w:t>
      </w:r>
    </w:p>
    <w:p>
      <w:pPr>
        <w:jc w:val="left"/>
      </w:pPr>
      <w:r>
        <w:rPr>
          <w:rFonts w:ascii="Inter" w:hAnsi="Inter"/>
          <w:b w:val="0"/>
          <w:color w:val="1F2937"/>
          <w:sz w:val="22"/>
        </w:rPr>
        <w:t>• Understand and analyze order amounts and reorder rate (Zephora sales data) test vs. control at clinic level</w:t>
      </w:r>
    </w:p>
    <w:p>
      <w:pPr>
        <w:jc w:val="left"/>
      </w:pPr>
      <w:r>
        <w:rPr>
          <w:rFonts w:ascii="Inter" w:hAnsi="Inter"/>
          <w:b w:val="0"/>
          <w:color w:val="1F2937"/>
          <w:sz w:val="22"/>
        </w:rPr>
        <w:t>• Conduct diary study with veterinarians to understand BRAND_A usage (test)</w:t>
      </w:r>
    </w:p>
    <w:p>
      <w:pPr>
        <w:jc w:val="left"/>
      </w:pPr>
      <w:r>
        <w:rPr>
          <w:rFonts w:ascii="Inter" w:hAnsi="Inter"/>
          <w:b w:val="0"/>
          <w:color w:val="1F2937"/>
          <w:sz w:val="22"/>
        </w:rPr>
        <w:t>• Key factors: Species, Weight, First time/acute/seasonal/chronic, Diagnosis, Length of prescription, Concomitant therapy</w:t>
      </w:r>
    </w:p>
    <w:p>
      <w:pPr>
        <w:jc w:val="left"/>
      </w:pPr>
      <w:r>
        <w:rPr>
          <w:rFonts w:ascii="Inter" w:hAnsi="Inter"/>
          <w:b w:val="0"/>
          <w:color w:val="1F2937"/>
          <w:sz w:val="22"/>
        </w:rPr>
        <w:t>• Analyze retail sales information to understand and monitor inventory vs. sales</w:t>
      </w:r>
    </w:p>
    <w:p>
      <w:pPr>
        <w:jc w:val="left"/>
      </w:pPr>
      <w:r>
        <w:rPr>
          <w:rFonts w:ascii="Inter" w:hAnsi="Inter"/>
          <w:b w:val="0"/>
          <w:color w:val="1F2937"/>
          <w:sz w:val="22"/>
        </w:rPr>
        <w:t>• Understand from holistic view, purchases, usages and sales out at clinic level</w:t>
      </w:r>
    </w:p>
    <w:p/>
    <w:p>
      <w:pPr>
        <w:jc w:val="left"/>
      </w:pPr>
      <w:r>
        <w:rPr>
          <w:rFonts w:ascii="Inter" w:hAnsi="Inter"/>
          <w:b/>
          <w:color w:val="DA365C"/>
          <w:sz w:val="32"/>
        </w:rPr>
        <w:t>6. Methodology &amp; Scope</w:t>
      </w:r>
    </w:p>
    <w:p>
      <w:pPr>
        <w:jc w:val="left"/>
      </w:pPr>
      <w:r>
        <w:t>A pre-post exercise via test (without supply constraints) and control group (supply constraints) is envisioned; however, vendors should feel free to recommend the techniques and outline what will be appropriate. Monthly reporting for at least six months. Monthly historical purchases will need to be collected for the 6-month period leading up to the pilot to serve as the pre-test data.</w:t>
      </w:r>
    </w:p>
    <w:p>
      <w:pPr>
        <w:jc w:val="left"/>
      </w:pPr>
      <w:r>
        <w:rPr>
          <w:rFonts w:ascii="Inter" w:hAnsi="Inter"/>
          <w:b w:val="0"/>
          <w:color w:val="1F2937"/>
          <w:sz w:val="22"/>
        </w:rPr>
        <w:t>Therapeutic Area: Animal Health</w:t>
      </w:r>
    </w:p>
    <w:p>
      <w:pPr>
        <w:jc w:val="left"/>
      </w:pPr>
      <w:r>
        <w:rPr>
          <w:rFonts w:ascii="Inter" w:hAnsi="Inter"/>
          <w:b w:val="0"/>
          <w:color w:val="1F2937"/>
          <w:sz w:val="22"/>
        </w:rPr>
        <w:t>Lifecycle Stage: Year 1-2 Post-Launch</w:t>
      </w:r>
    </w:p>
    <w:p>
      <w:pPr>
        <w:jc w:val="left"/>
      </w:pPr>
      <w:r>
        <w:rPr>
          <w:rFonts w:ascii="Inter" w:hAnsi="Inter"/>
          <w:b w:val="0"/>
          <w:color w:val="1F2937"/>
          <w:sz w:val="22"/>
        </w:rPr>
        <w:t>Primary Methodology: Diary Study + Pre-Post Test/Control</w:t>
      </w:r>
    </w:p>
    <w:p/>
    <w:p>
      <w:pPr>
        <w:jc w:val="left"/>
      </w:pPr>
      <w:r>
        <w:rPr>
          <w:rFonts w:ascii="Inter" w:hAnsi="Inter"/>
          <w:b/>
          <w:color w:val="DA365C"/>
          <w:sz w:val="32"/>
        </w:rPr>
        <w:t>7. Markets &amp; Geography</w:t>
      </w:r>
    </w:p>
    <w:p>
      <w:pPr>
        <w:jc w:val="left"/>
      </w:pPr>
      <w:r>
        <w:rPr>
          <w:rFonts w:ascii="Inter" w:hAnsi="Inter"/>
          <w:b w:val="0"/>
          <w:color w:val="1F2937"/>
          <w:sz w:val="22"/>
        </w:rPr>
        <w:t>Markets: United States only</w:t>
      </w:r>
    </w:p>
    <w:p/>
    <w:p>
      <w:pPr>
        <w:jc w:val="left"/>
      </w:pPr>
      <w:r>
        <w:rPr>
          <w:rFonts w:ascii="Inter" w:hAnsi="Inter"/>
          <w:b/>
          <w:color w:val="DA365C"/>
          <w:sz w:val="32"/>
        </w:rPr>
        <w:t>8. Target Audience &amp; Sample</w:t>
      </w:r>
    </w:p>
    <w:p>
      <w:pPr>
        <w:jc w:val="left"/>
      </w:pPr>
      <w:r>
        <w:rPr>
          <w:rFonts w:ascii="Inter" w:hAnsi="Inter"/>
          <w:b w:val="0"/>
          <w:color w:val="1F2937"/>
          <w:sz w:val="22"/>
        </w:rPr>
        <w:t>Sample: 30 GP Veterinarian clinics (~100-150 veterinarians)</w:t>
      </w:r>
    </w:p>
    <w:p>
      <w:pPr>
        <w:jc w:val="left"/>
      </w:pPr>
      <w:r>
        <w:rPr>
          <w:rFonts w:ascii="Inter" w:hAnsi="Inter"/>
          <w:b w:val="0"/>
          <w:color w:val="1F2937"/>
          <w:sz w:val="22"/>
        </w:rPr>
        <w:t>Zephora to provide recruitment list.</w:t>
      </w:r>
    </w:p>
    <w:p>
      <w:pPr>
        <w:jc w:val="left"/>
      </w:pPr>
      <w:r>
        <w:rPr>
          <w:rFonts w:ascii="Inter" w:hAnsi="Inter"/>
          <w:b w:val="0"/>
          <w:color w:val="1F2937"/>
          <w:sz w:val="22"/>
        </w:rPr>
        <w:t>Target Audience: General Practice Veterinarians</w:t>
      </w:r>
    </w:p>
    <w:p/>
    <w:p>
      <w:pPr>
        <w:jc w:val="left"/>
      </w:pPr>
      <w:r>
        <w:rPr>
          <w:rFonts w:ascii="Inter" w:hAnsi="Inter"/>
          <w:b/>
          <w:color w:val="DA365C"/>
          <w:sz w:val="32"/>
        </w:rPr>
        <w:t>9. Timeline &amp; Key Dates</w:t>
      </w:r>
    </w:p>
    <w:p>
      <w:pPr>
        <w:jc w:val="left"/>
      </w:pPr>
      <w:r>
        <w:t>Key Dates:</w:t>
        <w:br/>
        <w:t>- Proposal received: October 20, 2014</w:t>
        <w:br/>
        <w:t>- Selection of Vendors: Week of October 27, 2014 (Note: 1-week turnaround)</w:t>
        <w:br/>
        <w:t>- Study Duration: Monthly reporting for at least six months</w:t>
        <w:br/>
        <w:t>- Pre-test data: 6 months of historical purchases required before pilot launch</w:t>
      </w:r>
    </w:p>
    <w:p>
      <w:pPr>
        <w:jc w:val="left"/>
      </w:pPr>
      <w:r>
        <w:rPr>
          <w:rFonts w:ascii="Inter" w:hAnsi="Inter"/>
          <w:b w:val="0"/>
          <w:color w:val="1F2937"/>
          <w:sz w:val="22"/>
        </w:rPr>
        <w:t>• Selection of Vendors: Week of October 27, 2014</w:t>
      </w:r>
    </w:p>
    <w:p>
      <w:pPr>
        <w:jc w:val="left"/>
      </w:pPr>
      <w:r>
        <w:rPr>
          <w:rFonts w:ascii="Inter" w:hAnsi="Inter"/>
          <w:b w:val="0"/>
          <w:color w:val="1F2937"/>
          <w:sz w:val="22"/>
        </w:rPr>
        <w:t>• Study Duration: Monthly reporting for at least six months</w:t>
      </w:r>
    </w:p>
    <w:p/>
    <w:p>
      <w:pPr>
        <w:jc w:val="left"/>
      </w:pPr>
      <w:r>
        <w:rPr>
          <w:rFonts w:ascii="Inter" w:hAnsi="Inter"/>
          <w:b/>
          <w:color w:val="DA365C"/>
          <w:sz w:val="32"/>
        </w:rPr>
        <w:t>10. Deliverables</w:t>
      </w:r>
    </w:p>
    <w:p>
      <w:pPr>
        <w:jc w:val="left"/>
      </w:pPr>
      <w:r>
        <w:rPr>
          <w:rFonts w:ascii="Inter" w:hAnsi="Inter"/>
          <w:b w:val="0"/>
          <w:color w:val="1F2937"/>
          <w:sz w:val="22"/>
        </w:rPr>
        <w:t>• Project plan and timeline</w:t>
      </w:r>
    </w:p>
    <w:p>
      <w:pPr>
        <w:jc w:val="left"/>
      </w:pPr>
      <w:r>
        <w:rPr>
          <w:rFonts w:ascii="Inter" w:hAnsi="Inter"/>
          <w:b w:val="0"/>
          <w:color w:val="1F2937"/>
          <w:sz w:val="22"/>
        </w:rPr>
        <w:t>• Research materials</w:t>
      </w:r>
    </w:p>
    <w:p>
      <w:pPr>
        <w:jc w:val="left"/>
      </w:pPr>
      <w:r>
        <w:rPr>
          <w:rFonts w:ascii="Inter" w:hAnsi="Inter"/>
          <w:b w:val="0"/>
          <w:color w:val="1F2937"/>
          <w:sz w:val="22"/>
        </w:rPr>
        <w:t>• Monthly PowerPoint summary report</w:t>
      </w:r>
    </w:p>
    <w:p>
      <w:pPr>
        <w:jc w:val="left"/>
      </w:pPr>
      <w:r>
        <w:rPr>
          <w:rFonts w:ascii="Inter" w:hAnsi="Inter"/>
          <w:b w:val="0"/>
          <w:color w:val="1F2937"/>
          <w:sz w:val="22"/>
        </w:rPr>
        <w:t>• Final PowerPoint presentation</w:t>
      </w:r>
    </w:p>
    <w:p>
      <w:pPr>
        <w:jc w:val="left"/>
      </w:pPr>
      <w:r>
        <w:rPr>
          <w:rFonts w:ascii="Inter" w:hAnsi="Inter"/>
          <w:b w:val="0"/>
          <w:color w:val="1F2937"/>
          <w:sz w:val="22"/>
        </w:rPr>
        <w:t>• Presentation at Princeton, NJ office</w:t>
      </w:r>
    </w:p>
    <w:p>
      <w:pPr>
        <w:jc w:val="left"/>
      </w:pPr>
      <w:r>
        <w:rPr>
          <w:rFonts w:ascii="Inter" w:hAnsi="Inter"/>
          <w:b w:val="0"/>
          <w:color w:val="1F2937"/>
          <w:sz w:val="22"/>
        </w:rPr>
        <w:t>• Consulting and advice as necessary</w:t>
      </w:r>
    </w:p>
    <w:p/>
    <w:p>
      <w:pPr>
        <w:jc w:val="left"/>
      </w:pPr>
      <w:r>
        <w:rPr>
          <w:rFonts w:ascii="Inter" w:hAnsi="Inter"/>
          <w:b/>
          <w:color w:val="DA365C"/>
          <w:sz w:val="32"/>
        </w:rPr>
        <w:t>11. Budget &amp; Cost Requirements</w:t>
      </w:r>
    </w:p>
    <w:p>
      <w:pPr>
        <w:jc w:val="left"/>
      </w:pPr>
      <w:r>
        <w:t>Please show the costs for each piece of the research.</w:t>
        <w:br/>
        <w:t>The following costs must be clearly itemized:</w:t>
        <w:br/>
        <w:t>- Project design, material design &amp; development</w:t>
        <w:br/>
        <w:t>- Presentation at Princeton, NJ office, including itemization of anticipated expenses</w:t>
        <w:br/>
        <w:t>- Analysis &amp; in-person presentation</w:t>
        <w:br/>
        <w:br/>
        <w:t>We retain the right to request receipts and all honoraria must be clearly stated.</w:t>
      </w:r>
    </w:p>
    <w:p>
      <w:pPr>
        <w:jc w:val="left"/>
      </w:pPr>
      <w:r>
        <w:rPr>
          <w:rFonts w:ascii="Inter" w:hAnsi="Inter"/>
          <w:b w:val="0"/>
          <w:color w:val="1F2937"/>
          <w:sz w:val="22"/>
        </w:rPr>
        <w:t>• Project design/material design &amp; development</w:t>
      </w:r>
    </w:p>
    <w:p>
      <w:pPr>
        <w:jc w:val="left"/>
      </w:pPr>
      <w:r>
        <w:rPr>
          <w:rFonts w:ascii="Inter" w:hAnsi="Inter"/>
          <w:b w:val="0"/>
          <w:color w:val="1F2937"/>
          <w:sz w:val="22"/>
        </w:rPr>
        <w:t>• Presentation at Princeton NJ (with anticipated expenses)</w:t>
      </w:r>
    </w:p>
    <w:p>
      <w:pPr>
        <w:jc w:val="left"/>
      </w:pPr>
      <w:r>
        <w:rPr>
          <w:rFonts w:ascii="Inter" w:hAnsi="Inter"/>
          <w:b w:val="0"/>
          <w:color w:val="1F2937"/>
          <w:sz w:val="22"/>
        </w:rPr>
        <w:t>• Analysis &amp; in person presentation</w:t>
      </w:r>
    </w:p>
    <w:p>
      <w:pPr>
        <w:jc w:val="left"/>
      </w:pPr>
      <w:r>
        <w:rPr>
          <w:rFonts w:ascii="Inter" w:hAnsi="Inter"/>
          <w:b w:val="0"/>
          <w:color w:val="1F2937"/>
          <w:sz w:val="22"/>
        </w:rPr>
        <w:t>Right to request receipts; all honoraria must be clearly stated.</w:t>
      </w:r>
    </w:p>
    <w:p/>
    <w:p>
      <w:pPr>
        <w:jc w:val="left"/>
      </w:pPr>
      <w:r>
        <w:rPr>
          <w:rFonts w:ascii="Inter" w:hAnsi="Inter"/>
          <w:b/>
          <w:color w:val="DA365C"/>
          <w:sz w:val="32"/>
        </w:rPr>
        <w:t>12. Proposal Submission Requirements</w:t>
      </w:r>
    </w:p>
    <w:p>
      <w:pPr>
        <w:jc w:val="left"/>
      </w:pPr>
      <w:r>
        <w:rPr>
          <w:rFonts w:ascii="Inter" w:hAnsi="Inter"/>
          <w:b w:val="0"/>
          <w:color w:val="1F2937"/>
          <w:sz w:val="22"/>
        </w:rPr>
        <w:t>Vendors must submit detailed proposals including methodology recommendations, timeline, cost breakdown, and team qualifications.</w:t>
      </w:r>
    </w:p>
    <w:p/>
    <w:p>
      <w:pPr>
        <w:jc w:val="left"/>
      </w:pPr>
      <w:r>
        <w:rPr>
          <w:rFonts w:ascii="Inter" w:hAnsi="Inter"/>
          <w:b/>
          <w:color w:val="DA365C"/>
          <w:sz w:val="32"/>
        </w:rPr>
        <w:t>13. Evaluation Criteria</w:t>
      </w:r>
    </w:p>
    <w:p>
      <w:pPr>
        <w:jc w:val="left"/>
      </w:pPr>
      <w:r>
        <w:rPr>
          <w:rFonts w:ascii="Inter" w:hAnsi="Inter"/>
          <w:b w:val="0"/>
          <w:color w:val="1F2937"/>
          <w:sz w:val="22"/>
        </w:rPr>
        <w:t>• Methodology appropriateness and innovation</w:t>
      </w:r>
    </w:p>
    <w:p>
      <w:pPr>
        <w:jc w:val="left"/>
      </w:pPr>
      <w:r>
        <w:rPr>
          <w:rFonts w:ascii="Inter" w:hAnsi="Inter"/>
          <w:b w:val="0"/>
          <w:color w:val="1F2937"/>
          <w:sz w:val="22"/>
        </w:rPr>
        <w:t>• Team experience in veterinary research</w:t>
      </w:r>
    </w:p>
    <w:p>
      <w:pPr>
        <w:jc w:val="left"/>
      </w:pPr>
      <w:r>
        <w:rPr>
          <w:rFonts w:ascii="Inter" w:hAnsi="Inter"/>
          <w:b w:val="0"/>
          <w:color w:val="1F2937"/>
          <w:sz w:val="22"/>
        </w:rPr>
        <w:t>• Cost competitiveness</w:t>
      </w:r>
    </w:p>
    <w:p>
      <w:pPr>
        <w:jc w:val="left"/>
      </w:pPr>
      <w:r>
        <w:rPr>
          <w:rFonts w:ascii="Inter" w:hAnsi="Inter"/>
          <w:b w:val="0"/>
          <w:color w:val="1F2937"/>
          <w:sz w:val="22"/>
        </w:rPr>
        <w:t>• Timeline feasibility</w:t>
      </w:r>
    </w:p>
    <w:p/>
    <w:p>
      <w:pPr>
        <w:jc w:val="left"/>
      </w:pPr>
      <w:r>
        <w:rPr>
          <w:rFonts w:ascii="Inter" w:hAnsi="Inter"/>
          <w:b/>
          <w:color w:val="DA365C"/>
          <w:sz w:val="32"/>
        </w:rPr>
        <w:t>14. Communication Procedures</w:t>
      </w:r>
    </w:p>
    <w:p>
      <w:pPr>
        <w:jc w:val="left"/>
      </w:pPr>
      <w:r>
        <w:t>All communications regarding this RFP should be directed to:</w:t>
        <w:br/>
        <w:br/>
        <w:t>Tessa Mallory</w:t>
        <w:br/>
        <w:t>Associate Director, Global Market Research</w:t>
        <w:br/>
        <w:t>Zephora, Companion Animal Team</w:t>
        <w:br/>
        <w:t>200 Innovation Way, 4th Floor</w:t>
        <w:br/>
        <w:t>Princeton, NJ 08540</w:t>
        <w:br/>
        <w:t>Email: [CONTACT_EMAIL]</w:t>
        <w:br/>
        <w:br/>
        <w:t>[CONTACT_BLOCK_REDACTED]</w:t>
      </w:r>
    </w:p>
    <w:p/>
    <w:p>
      <w:pPr>
        <w:jc w:val="left"/>
      </w:pPr>
      <w:r>
        <w:rPr>
          <w:rFonts w:ascii="Inter" w:hAnsi="Inter"/>
          <w:b/>
          <w:color w:val="DA365C"/>
          <w:sz w:val="32"/>
        </w:rPr>
        <w:t>15. Corporate Policies &amp; Compliance</w:t>
      </w:r>
    </w:p>
    <w:p>
      <w:pPr>
        <w:jc w:val="left"/>
      </w:pPr>
      <w:r>
        <w:rPr>
          <w:rFonts w:ascii="Inter" w:hAnsi="Inter"/>
          <w:b w:val="0"/>
          <w:color w:val="1F2937"/>
          <w:sz w:val="22"/>
        </w:rPr>
        <w:t>All vendors must comply with applicable regulations for animal health research and maintain appropriate ethical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