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p>
    <w:p>
      <w:pPr>
        <w:pStyle w:val="Heading2"/>
      </w:pPr>
    </w:p>
    <w:p>
      <w:pPr>
        <w:pStyle w:val="Heading2"/>
      </w:pPr>
      <w:r>
        <w:t>[BRAND_A] Payer Concept &amp; Message Testing Study</w:t>
      </w:r>
    </w:p>
    <w:p>
      <w:pPr>
        <w:pStyle w:val="Heading2"/>
      </w:pPr>
      <w:r>
        <w:t>Market Research Briefing</w:t>
      </w:r>
    </w:p>
    <w:p/>
    <w:p/>
    <w:p>
      <w:r>
        <w:t>Business Owner: Market Access Marketing</w:t>
      </w:r>
    </w:p>
    <w:p/>
    <w:p>
      <w:r>
        <w:t>Other Stakeholders to be involved: Regional &amp; National Account Leadership</w:t>
      </w:r>
    </w:p>
    <w:p/>
    <w:p>
      <w:r>
        <w:t>Marketing Initiative/Research Project: Yes</w:t>
      </w:r>
    </w:p>
    <w:p/>
    <w:p/>
    <w:p>
      <w:r>
        <w:t>PROJECT BACKGROUND/OVERVIEW</w:t>
      </w:r>
    </w:p>
    <w:p>
      <w:pPr>
        <w:pStyle w:val="ListBullet"/>
      </w:pPr>
      <w:r>
        <w:t>[BRAND_A] is the first biologic, targeting IL-17A , a key cytokine in the PsO/PsA/AS pathogeneses. Thus it is the first alternative to Anti-TNFs in the PsO/PsA/AS market with the potential to become the preferred option for Bx-naive patients and those with previous failure to anti-TNF</w:t>
      </w:r>
    </w:p>
    <w:p/>
    <w:p>
      <w:pPr>
        <w:pStyle w:val="ListBullet"/>
      </w:pPr>
      <w:r>
        <w:t>[BRAND_A] operates across a competitive market for three indications, with traditional dominant players ([BRAND]/[BRAND]), lower level established brands ([BRAND]/[BRAND]/[BRAND_A]/[BRAND]), new IL-17 competition ([BRAND]) and a distinct competitive pipeline of bio-similar anti-TNF agents and other innovative products ([MOLECULE] (IL-17), [MOLECULE] (IL-23p19), [MOLECULE] (IL-23p19)) coming on stream for one or more of the indications [BRAND_A] competes in over the next two years.</w:t>
      </w:r>
    </w:p>
    <w:p/>
    <w:p>
      <w:pPr>
        <w:pStyle w:val="ListBullet"/>
      </w:pPr>
      <w:r>
        <w:t>[BRAND_A] has recently completed a study related to current perceptions surrounding the brand in the payer space. Based on these findings a new concept and message positioning is being developed to engage payers with the core messages of [BRAND_A]. Previous payer creative related to [BRAND_A] has been purposefully muted due to different creative across the three indications, and payer messaging was directly copied from HCP-focused messaging.. The purpose now is to define the optimal message, image, and tags (sub bullet) combination to project the correct image of [BRAND_A] to payers and drive engagement.</w:t>
      </w:r>
    </w:p>
    <w:p/>
    <w:p/>
    <w:p>
      <w:r>
        <w:t>BUSINESS INITIATIVE/PROJECT OBJECTIVE</w:t>
      </w:r>
    </w:p>
    <w:p>
      <w:pPr>
        <w:pStyle w:val="ListBullet"/>
      </w:pPr>
      <w:r>
        <w:t>This study will identify quantitatively the most appropriate messages and concepts for use by [BRAND_A] when addressing payers, from the small number of concepts and conceptual elements under considered.</w:t>
      </w:r>
    </w:p>
    <w:p/>
    <w:p>
      <w:pPr>
        <w:pStyle w:val="ListBullet"/>
      </w:pPr>
      <w:r>
        <w:t>Provide an accurate quantitative evaluation of the diverse concepts and messages being considered for development and roll out in Q1 [YEAR].</w:t>
      </w:r>
    </w:p>
    <w:p/>
    <w:p>
      <w:pPr>
        <w:pStyle w:val="ListBullet"/>
      </w:pPr>
      <w:r>
        <w:t>Provide a quantitative competitive assessment across a number of aspects to define the most suitable concept for Payers messaging and provide strong recommendations for use.</w:t>
      </w:r>
    </w:p>
    <w:p/>
    <w:p>
      <w:pPr>
        <w:pStyle w:val="ListBullet"/>
      </w:pPr>
      <w:r>
        <w:t>Key to the successful creative concept and message selection is the potential for compaignability of the concept, the suitability for multi-purpose use (Journal, conference and direct engagement with payers)</w:t>
      </w:r>
    </w:p>
    <w:p/>
    <w:p/>
    <w:p>
      <w:r>
        <w:t>RESEARCH OBJECTIVE</w:t>
      </w:r>
    </w:p>
    <w:p>
      <w:pPr>
        <w:pStyle w:val="ListBullet"/>
      </w:pPr>
      <w:r>
        <w:t>The core research objective of the study is to provide clear recommendations as to the most suitable creative concept, message and message content for [BRAND_A] to use with Payers.</w:t>
      </w:r>
    </w:p>
    <w:p/>
    <w:p/>
    <w:p/>
    <w:p/>
    <w:p>
      <w:pPr>
        <w:pStyle w:val="ListBullet"/>
      </w:pPr>
      <w:r>
        <w:t>Rank and rate message and creative variables and attribute’s to identify the most important when considered by payers: engagement, novelty, presentation, match with brand knowledge, ease of understanding and impact.</w:t>
      </w:r>
    </w:p>
    <w:p>
      <w:pPr>
        <w:pStyle w:val="ListBullet"/>
      </w:pPr>
      <w:r>
        <w:t>Evaluation of each concept across each aspect.</w:t>
      </w:r>
    </w:p>
    <w:p>
      <w:pPr>
        <w:pStyle w:val="ListBullet"/>
      </w:pPr>
      <w:r>
        <w:t>Identify elements which are ownable, unique and differentiating</w:t>
      </w:r>
    </w:p>
    <w:p>
      <w:pPr>
        <w:pStyle w:val="ListBullet"/>
      </w:pPr>
      <w:r>
        <w:t>Identify initial appeal, rationale for appeal and long term campaignability for the creative concept.</w:t>
      </w:r>
    </w:p>
    <w:p>
      <w:pPr>
        <w:pStyle w:val="ListBullet"/>
      </w:pPr>
      <w:r>
        <w:t>Can be deployed across media and platforms (advertising, digital, Sales Force, professional conferences, etc)</w:t>
      </w:r>
    </w:p>
    <w:p/>
    <w:p/>
    <w:p>
      <w:r>
        <w:t>Sample, Methodology, Project overview</w:t>
      </w:r>
    </w:p>
    <w:p>
      <w:pPr>
        <w:pStyle w:val="ListBullet"/>
      </w:pPr>
      <w:r>
        <w:t>Primarily quantitative approach (CAWI/CAPI/CATI). However, we do require a degree of nuanced qualitative insights around the creative to drive real understanding of the most appropriate selection. Potentially this could be done through initial TD interviews, which use the initial quantitative instrument but provide opportunity for some open qualitative discussions to drive real project value. Findings from these interviews could then be used to provide more value from the quantitative CAPI interviews.</w:t>
      </w:r>
    </w:p>
    <w:p>
      <w:pPr>
        <w:pStyle w:val="ListBullet"/>
      </w:pPr>
      <w:r>
        <w:t>Sample should include formulary/P&amp;T decision makers (e.g. medical directors, pharmacy directors) at managed care plans and pharmacy benefit managers (PBMs). Given our payer mix, we should heavily weight the sample to commercial payers with much smaller focus on Part D</w:t>
      </w:r>
    </w:p>
    <w:p>
      <w:pPr>
        <w:pStyle w:val="ListBullet"/>
      </w:pPr>
      <w:r>
        <w:t>Where possible we would like to include sample from the larger national payers (e.g. [PAYER_ORG], [PAYER_ORG], [PAYER_ORG], [PAYER_ORG]).</w:t>
      </w:r>
    </w:p>
    <w:p>
      <w:pPr>
        <w:pStyle w:val="ListBullet"/>
      </w:pPr>
      <w:r>
        <w:t>Methodological requirements: Consideration will be given to potential partners who display and provide significant experience of message and concept testing research, particularly with Payers, can provide engaging or approaches which drive value or who have extensive engagement in this field of study.</w:t>
      </w:r>
    </w:p>
    <w:p>
      <w:r>
        <w:t>TIMELINE</w:t>
      </w:r>
    </w:p>
    <w:p>
      <w:pPr>
        <w:pStyle w:val="ListBullet"/>
      </w:pPr>
      <w:r>
        <w:t>Fieldwork February – Read out by end of February</w:t>
      </w:r>
    </w:p>
    <w:p>
      <w:pPr>
        <w:pStyle w:val="ListBullet"/>
      </w:pPr>
      <w:r>
        <w:t>Please note that the concepts are still in development and therefore the instrument design and set up will need to conducted in parallel.</w:t>
      </w:r>
    </w:p>
    <w:p>
      <w:pPr>
        <w:pStyle w:val="ListBullet"/>
      </w:pPr>
      <w:r>
        <w:t>Please respond with expression of interest as soon as possible</w:t>
      </w:r>
    </w:p>
    <w:p>
      <w:pPr>
        <w:pStyle w:val="ListBullet"/>
      </w:pPr>
      <w:r>
        <w:t>Please respond with costed proposal by [DATE]</w:t>
      </w:r>
    </w:p>
    <w:p/>
    <w:p>
      <w:r>
        <w:t>BUDGET &amp; LOGISTICS (Fill out if not already budgeted for)</w:t>
      </w:r>
    </w:p>
    <w:p>
      <w:pPr>
        <w:pStyle w:val="ListBullet"/>
      </w:pPr>
      <w:r>
        <w:t>All costing should include:</w:t>
      </w:r>
    </w:p>
    <w:p>
      <w:pPr>
        <w:pStyle w:val="ListBullet"/>
      </w:pPr>
      <w:r>
        <w:t>Full service quantitative research project</w:t>
      </w:r>
    </w:p>
    <w:p>
      <w:pPr>
        <w:pStyle w:val="ListBullet"/>
      </w:pPr>
      <w:r>
        <w:t>Questionnaire design</w:t>
      </w:r>
    </w:p>
    <w:p>
      <w:pPr>
        <w:pStyle w:val="ListBullet"/>
      </w:pPr>
      <w:r>
        <w:t>Recruitment</w:t>
      </w:r>
    </w:p>
    <w:p>
      <w:pPr>
        <w:pStyle w:val="ListBullet"/>
      </w:pPr>
      <w:r>
        <w:t>Fieldwork</w:t>
      </w:r>
    </w:p>
    <w:p>
      <w:pPr>
        <w:pStyle w:val="ListBullet"/>
      </w:pPr>
      <w:r>
        <w:t>Compliance/monitoring</w:t>
      </w:r>
    </w:p>
    <w:p>
      <w:pPr>
        <w:pStyle w:val="ListBullet"/>
      </w:pPr>
      <w:r>
        <w:t>Data analysis</w:t>
      </w:r>
    </w:p>
    <w:p>
      <w:pPr>
        <w:pStyle w:val="ListBullet"/>
      </w:pPr>
      <w:r>
        <w:t>Reporting generation</w:t>
      </w:r>
    </w:p>
    <w:p>
      <w:pPr>
        <w:pStyle w:val="ListBullet"/>
      </w:pPr>
      <w:r>
        <w:t>In person presentation</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ASSET_CODE]"/>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ASSET_CODE]"/>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ASSET_CODE]"/>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ASSET_CODE]"/>
    <w:multiLevelType w:val="singleLevel"/>
    <w:tmpl w:val="D0A62B40"/>
    <w:lvl w:ilvl="0">
      <w:start w:val="1"/>
      <w:numFmt w:val="decimal"/>
      <w:pStyle w:val="ListNumber"/>
      <w:lvlText w:val="%1."/>
      <w:lvlJc w:val="left"/>
      <w:pPr>
        <w:tabs>
          <w:tab w:val="num" w:pos="360"/>
        </w:tabs>
        <w:ind w:left="360" w:hanging="360"/>
      </w:pPr>
    </w:lvl>
  </w:abstractNum>
  <w:abstractNum w:abstractNumId="8">
    <w:nsid w:val="[ASSET_CODE]"/>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[YEAR]-12-23T23:15:00Z</dcterms:created>
  <dcterms:modified xsi:type="dcterms:W3CDTF">[YEAR]-12-23T23:15:00Z</dcterms:modified>
  <cp:category/>
  <cp:contentStatus/>
  <dc:identifier/>
  <dc:language/>
  <cp:version/>
</cp:coreProperties>
</file>