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p>
    <w:p>
      <w:pPr>
        <w:pStyle w:val="Heading1"/>
      </w:pPr>
      <w:r>
        <w:t>Healthcare Market Pulse Survey</w:t>
      </w:r>
    </w:p>
    <w:p>
      <w:pPr>
        <w:pStyle w:val="Heading1"/>
      </w:pPr>
      <w:r/>
    </w:p>
    <w:p>
      <w:r>
        <w:t>Project Background and Purpose</w:t>
      </w:r>
    </w:p>
    <w:p/>
    <w:p>
      <w:r>
        <w:t>Healthcare market dynamics are constantly changing and Meridian Health Systems would like to have a better visibility into market trends, customer purchase plans, and barriers &amp; drivers to capital spending on imaging and IT systems in hospital and non-hospital settings.</w:t>
      </w:r>
    </w:p>
    <w:p/>
    <w:p>
      <w:r>
        <w:t>Research Objectives</w:t>
      </w:r>
    </w:p>
    <w:p/>
    <w:p>
      <w:r>
        <w:t>The following objectives provide a sample of the type of content MHS is seeking.</w:t>
      </w:r>
    </w:p>
    <w:p/>
    <w:p>
      <w:r>
        <w:t>While this is a multi-country research initiative there will exist core elements that must be addressed in all countries (approx. 80% of research) and a smaller local content section.</w:t>
      </w:r>
    </w:p>
    <w:p/>
    <w:p>
      <w:r>
        <w:t>Core elements</w:t>
      </w:r>
    </w:p>
    <w:p/>
    <w:p>
      <w:pPr>
        <w:pStyle w:val="ListBullet"/>
      </w:pPr>
      <w:r>
        <w:t>Site description (e.g. local hospital classification, # beds, location etc)</w:t>
      </w:r>
    </w:p>
    <w:p>
      <w:pPr>
        <w:pStyle w:val="ListBullet"/>
      </w:pPr>
      <w:r>
        <w:t>Hospital strategy, change in overall level of spending</w:t>
      </w:r>
    </w:p>
    <w:p>
      <w:pPr>
        <w:pStyle w:val="ListBullet"/>
      </w:pPr>
      <w:r>
        <w:t>Purchase intent for the following modalities over the next 6 months, 6-12 months and 12-18 months (see scope section for local variations).</w:t>
      </w:r>
    </w:p>
    <w:p>
      <w:pPr>
        <w:pStyle w:val="ListBullet"/>
      </w:pPr>
      <w:r>
        <w:t>CT (64 and greater, 32 slice, 16 slice or less)</w:t>
      </w:r>
    </w:p>
    <w:p>
      <w:pPr>
        <w:pStyle w:val="ListBullet"/>
      </w:pPr>
      <w:r>
        <w:t>MRI (&lt;1.5T, 1.5T, 3T, refurbished)</w:t>
      </w:r>
    </w:p>
    <w:p>
      <w:pPr>
        <w:pStyle w:val="ListBullet"/>
      </w:pPr>
      <w:r>
        <w:t>Nuc</w:t>
      </w:r>
    </w:p>
    <w:p>
      <w:pPr>
        <w:pStyle w:val="ListBullet"/>
      </w:pPr>
      <w:r>
        <w:t>PET</w:t>
      </w:r>
    </w:p>
    <w:p>
      <w:pPr>
        <w:pStyle w:val="ListBullet"/>
      </w:pPr>
      <w:r>
        <w:t>Ultrasound (Conventional, handheld, laptop)</w:t>
      </w:r>
    </w:p>
    <w:p>
      <w:pPr>
        <w:pStyle w:val="ListBullet"/>
      </w:pPr>
      <w:r>
        <w:t>General Radiology (fixed and mobile)</w:t>
      </w:r>
    </w:p>
    <w:p>
      <w:pPr>
        <w:pStyle w:val="ListBullet"/>
      </w:pPr>
      <w:r>
        <w:t>Radiographic Fluoroscopy</w:t>
      </w:r>
    </w:p>
    <w:p>
      <w:pPr>
        <w:pStyle w:val="ListBullet"/>
      </w:pPr>
      <w:r>
        <w:t>Mammography</w:t>
      </w:r>
    </w:p>
    <w:p>
      <w:pPr>
        <w:pStyle w:val="ListBullet"/>
      </w:pPr>
      <w:r>
        <w:t>Hybrid OR</w:t>
      </w:r>
    </w:p>
    <w:p>
      <w:pPr>
        <w:pStyle w:val="ListBullet"/>
      </w:pPr>
      <w:r>
        <w:t>Interventional Angiography</w:t>
      </w:r>
    </w:p>
    <w:p>
      <w:pPr>
        <w:pStyle w:val="ListBullet"/>
      </w:pPr>
      <w:r>
        <w:t>Cardiac Cath Lab</w:t>
      </w:r>
    </w:p>
    <w:p>
      <w:pPr>
        <w:pStyle w:val="ListBullet"/>
      </w:pPr>
      <w:r>
        <w:t>Electrophysiology</w:t>
      </w:r>
    </w:p>
    <w:p>
      <w:pPr>
        <w:pStyle w:val="ListBullet"/>
      </w:pPr>
      <w:r>
        <w:t>C-Arms (portal and fixed)</w:t>
      </w:r>
    </w:p>
    <w:p>
      <w:pPr>
        <w:pStyle w:val="ListBullet"/>
      </w:pPr>
      <w:r>
        <w:t>Confidence in their intent to purchase during these time periods (i.e. How likely is it that the purchase will be realized?)</w:t>
      </w:r>
    </w:p>
    <w:p>
      <w:pPr>
        <w:pStyle w:val="ListBullet"/>
      </w:pPr>
      <w:r>
        <w:t>Explore key factors that drive or hinder product replacement vs. new vs. addition decisions (i.e. improvements in existing product features, new features serving unmet needs, etc.) to inform market share improvement strategies. These factors will be determined by MHS with approx. 60% consistent across all geographies and the remaining tailored for local conditions). These factors may include:</w:t>
      </w:r>
    </w:p>
    <w:p>
      <w:pPr>
        <w:pStyle w:val="ListBullet"/>
      </w:pPr>
      <w:r>
        <w:t>Financial</w:t>
      </w:r>
    </w:p>
    <w:p>
      <w:pPr>
        <w:pStyle w:val="ListBullet"/>
      </w:pPr>
      <w:r>
        <w:t>Political (health care reform)</w:t>
      </w:r>
    </w:p>
    <w:p>
      <w:pPr>
        <w:pStyle w:val="ListBullet"/>
      </w:pPr>
      <w:r>
        <w:t>Clinical</w:t>
      </w:r>
    </w:p>
    <w:p>
      <w:pPr>
        <w:pStyle w:val="ListBullet"/>
      </w:pPr>
      <w:r>
        <w:t>Technological</w:t>
      </w:r>
    </w:p>
    <w:p>
      <w:pPr>
        <w:pStyle w:val="ListBullet"/>
      </w:pPr>
      <w:r>
        <w:t>Economic</w:t>
      </w:r>
    </w:p>
    <w:p>
      <w:pPr>
        <w:pStyle w:val="ListBullet"/>
      </w:pPr>
      <w:r>
        <w:t>Operational</w:t>
      </w:r>
    </w:p>
    <w:p/>
    <w:p>
      <w:r>
        <w:t>Local content</w:t>
      </w:r>
    </w:p>
    <w:p/>
    <w:tbl>
      <w:tblPr>
        <w:tblStyle w:val="TableGrid"/>
        <w:tblW w:type="auto" w:w="0"/>
        <w:tblLook w:firstColumn="1" w:firstRow="1" w:lastColumn="0" w:lastRow="0" w:noHBand="0" w:noVBand="1" w:val="04A0"/>
      </w:tblPr>
      <w:tblGrid>
        <w:gridCol w:w="4320"/>
        <w:gridCol w:w="4320"/>
      </w:tblGrid>
      <w:tr>
        <w:tc>
          <w:tcPr>
            <w:tcW w:type="dxa" w:w="4320"/>
          </w:tcPr>
          <w:p>
            <w:r>
              <w:t>Country/Region</w:t>
            </w:r>
          </w:p>
        </w:tc>
        <w:tc>
          <w:tcPr>
            <w:tcW w:type="dxa" w:w="4320"/>
          </w:tcPr>
          <w:p>
            <w:r>
              <w:t>Local research objectives</w:t>
            </w:r>
          </w:p>
        </w:tc>
      </w:tr>
      <w:tr>
        <w:tc>
          <w:tcPr>
            <w:tcW w:type="dxa" w:w="4320"/>
          </w:tcPr>
          <w:p>
            <w:r>
              <w:t>EU</w:t>
            </w:r>
          </w:p>
        </w:tc>
        <w:tc>
          <w:tcPr>
            <w:tcW w:type="dxa" w:w="4320"/>
          </w:tcPr>
          <w:p>
            <w:r>
              <w:t>Reimbursement status and impact on care delivery</w:t>
              <w:br/>
              <w:t>Installed base snapshot, upgrade policy, maintenance of the installed base</w:t>
              <w:br/>
              <w:t>Purchase process, technical partnership, collaboration contracts</w:t>
              <w:br/>
              <w:t>GE and competitors positioning: customer perception of best in class by modality</w:t>
            </w:r>
          </w:p>
        </w:tc>
      </w:tr>
    </w:tbl>
    <w:p/>
    <w:p/>
    <w:p>
      <w:r>
        <w:t>Scope and Methodology</w:t>
      </w:r>
    </w:p>
    <w:p/>
    <w:p>
      <w:r>
        <w:t>The research will be quantitative in nature and focus on the following countries:</w:t>
      </w:r>
    </w:p>
    <w:p/>
    <w:p>
      <w:pPr>
        <w:pStyle w:val="ListBullet"/>
      </w:pPr>
      <w:r>
        <w:t>Europe - UK, Germany, France, Italy, Poland, Sweden and Netherlands.</w:t>
      </w:r>
    </w:p>
    <w:p>
      <w:pPr>
        <w:pStyle w:val="ListBullet"/>
      </w:pPr>
      <w:r>
        <w:t>Russia</w:t>
      </w:r>
    </w:p>
    <w:p>
      <w:pPr>
        <w:pStyle w:val="ListBullet"/>
      </w:pPr>
      <w:r>
        <w:t>Japan</w:t>
      </w:r>
    </w:p>
    <w:p>
      <w:pPr>
        <w:pStyle w:val="ListBullet"/>
      </w:pPr>
      <w:r>
        <w:t>Korea</w:t>
      </w:r>
    </w:p>
    <w:p/>
    <w:p>
      <w:r>
        <w:t>Respondents are expected to come from the following pools of stakeholders</w:t>
      </w:r>
    </w:p>
    <w:p/>
    <w:p>
      <w:pPr>
        <w:pStyle w:val="ListBullet"/>
      </w:pPr>
      <w:r>
        <w:t>CxOs</w:t>
      </w:r>
    </w:p>
    <w:p>
      <w:pPr>
        <w:pStyle w:val="ListBullet"/>
      </w:pPr>
      <w:r>
        <w:t>Head of radiology</w:t>
      </w:r>
    </w:p>
    <w:p>
      <w:pPr>
        <w:pStyle w:val="ListBullet"/>
      </w:pPr>
      <w:r>
        <w:t>Radiologist</w:t>
      </w:r>
    </w:p>
    <w:p/>
    <w:p>
      <w:r>
        <w:t>There should be a natural distribution of the sample such that it should be possible to extrapolate to the entire population within each country specified above. The sample should also take into consideration any specific local conditions such as private markets or outpatient imaging centers in order to gain the most accurate view of entire market dynamics.</w:t>
      </w:r>
    </w:p>
    <w:p/>
    <w:p>
      <w:r>
        <w:t>Local requirements</w:t>
      </w:r>
    </w:p>
    <w:p/>
    <w:tbl>
      <w:tblPr>
        <w:tblStyle w:val="TableGrid"/>
        <w:tblW w:type="auto" w:w="0"/>
        <w:tblLook w:firstColumn="1" w:firstRow="1" w:lastColumn="0" w:lastRow="0" w:noHBand="0" w:noVBand="1" w:val="04A0"/>
      </w:tblPr>
      <w:tblGrid>
        <w:gridCol w:w="2880"/>
        <w:gridCol w:w="2880"/>
        <w:gridCol w:w="2880"/>
      </w:tblGrid>
      <w:tr>
        <w:tc>
          <w:tcPr>
            <w:tcW w:type="dxa" w:w="2880"/>
          </w:tcPr>
          <w:p>
            <w:r>
              <w:t>Country</w:t>
            </w:r>
          </w:p>
        </w:tc>
        <w:tc>
          <w:tcPr>
            <w:tcW w:type="dxa" w:w="2880"/>
          </w:tcPr>
          <w:p>
            <w:r>
              <w:t>Institutions</w:t>
            </w:r>
          </w:p>
        </w:tc>
        <w:tc>
          <w:tcPr>
            <w:tcW w:type="dxa" w:w="2880"/>
          </w:tcPr>
          <w:p>
            <w:r>
              <w:t>Modality Scope</w:t>
            </w:r>
          </w:p>
        </w:tc>
      </w:tr>
      <w:tr>
        <w:tc>
          <w:tcPr>
            <w:tcW w:type="dxa" w:w="2880"/>
          </w:tcPr>
          <w:p>
            <w:r>
              <w:t>Japan</w:t>
            </w:r>
          </w:p>
        </w:tc>
        <w:tc>
          <w:tcPr>
            <w:tcW w:type="dxa" w:w="2880"/>
          </w:tcPr>
          <w:p>
            <w:r>
              <w:t>DPC Hospital</w:t>
              <w:br/>
              <w:t>Non-DPC Hospital</w:t>
              <w:br/>
              <w:t>Clinics</w:t>
            </w:r>
          </w:p>
        </w:tc>
        <w:tc>
          <w:tcPr>
            <w:tcW w:type="dxa" w:w="2880"/>
          </w:tcPr>
          <w:p>
            <w:r>
              <w:t>CT</w:t>
              <w:br/>
              <w:t>MR</w:t>
              <w:br/>
              <w:t>SPECT, SPECT/CT</w:t>
              <w:br/>
              <w:t>PET, PET/CT</w:t>
              <w:br/>
              <w:t>PET/MR</w:t>
              <w:br/>
              <w:t>Mammography</w:t>
              <w:br/>
              <w:t>X-ray</w:t>
              <w:br/>
              <w:t>C-arm</w:t>
            </w:r>
          </w:p>
        </w:tc>
      </w:tr>
      <w:tr>
        <w:tc>
          <w:tcPr>
            <w:tcW w:type="dxa" w:w="2880"/>
          </w:tcPr>
          <w:p>
            <w:r>
              <w:t>Korea</w:t>
            </w:r>
          </w:p>
        </w:tc>
        <w:tc>
          <w:tcPr>
            <w:tcW w:type="dxa" w:w="2880"/>
          </w:tcPr>
          <w:p>
            <w:r/>
          </w:p>
        </w:tc>
        <w:tc>
          <w:tcPr>
            <w:tcW w:type="dxa" w:w="2880"/>
          </w:tcPr>
          <w:p>
            <w:r>
              <w:t>As for Japan</w:t>
            </w:r>
          </w:p>
        </w:tc>
      </w:tr>
      <w:tr>
        <w:tc>
          <w:tcPr>
            <w:tcW w:type="dxa" w:w="2880"/>
          </w:tcPr>
          <w:p>
            <w:r>
              <w:t>EU</w:t>
            </w:r>
          </w:p>
        </w:tc>
        <w:tc>
          <w:tcPr>
            <w:tcW w:type="dxa" w:w="2880"/>
          </w:tcPr>
          <w:p>
            <w:r/>
          </w:p>
        </w:tc>
        <w:tc>
          <w:tcPr>
            <w:tcW w:type="dxa" w:w="2880"/>
          </w:tcPr>
          <w:p>
            <w:r>
              <w:t>CT</w:t>
              <w:br/>
              <w:t>MR</w:t>
              <w:br/>
              <w:t>SPECT, SPECT/CT</w:t>
              <w:br/>
              <w:t>PET, PET/CT</w:t>
              <w:br/>
              <w:t>PET/MR</w:t>
              <w:br/>
              <w:t>Mammography</w:t>
              <w:br/>
              <w:t>X-ray</w:t>
              <w:br/>
              <w:t>Ultrasound</w:t>
            </w:r>
          </w:p>
        </w:tc>
      </w:tr>
    </w:tbl>
    <w:p/>
    <w:p>
      <w:r>
        <w:t>MHS views this is a potential long term partnership. In addition to the requirements above, MHS may also seek to extend the scope of this research. Please provide estimated pricing on a per country/modality basis for the inclusion of the following options (Note that the respondents type may also need to be expanded):</w:t>
      </w:r>
    </w:p>
    <w:p/>
    <w:p>
      <w:pPr>
        <w:pStyle w:val="ListBullet"/>
      </w:pPr>
      <w:r>
        <w:t>Expansion to include the following modalities</w:t>
      </w:r>
    </w:p>
    <w:p>
      <w:pPr>
        <w:pStyle w:val="ListBullet"/>
      </w:pPr>
      <w:r>
        <w:t>DCAR</w:t>
      </w:r>
    </w:p>
    <w:p>
      <w:pPr>
        <w:pStyle w:val="ListBullet"/>
      </w:pPr>
      <w:r>
        <w:t>Resting ECG</w:t>
      </w:r>
    </w:p>
    <w:p>
      <w:pPr>
        <w:pStyle w:val="ListBullet"/>
      </w:pPr>
      <w:r>
        <w:t>ECG Stress testing system</w:t>
      </w:r>
    </w:p>
    <w:p>
      <w:pPr>
        <w:pStyle w:val="ListBullet"/>
      </w:pPr>
      <w:r>
        <w:t>Holter monitoring</w:t>
      </w:r>
    </w:p>
    <w:p>
      <w:pPr>
        <w:pStyle w:val="ListBullet"/>
      </w:pPr>
      <w:r>
        <w:t>ECG Database Management</w:t>
      </w:r>
    </w:p>
    <w:p>
      <w:pPr>
        <w:pStyle w:val="ListBullet"/>
      </w:pPr>
      <w:r>
        <w:t>HCIT</w:t>
      </w:r>
    </w:p>
    <w:p>
      <w:pPr>
        <w:pStyle w:val="ListBullet"/>
      </w:pPr>
      <w:r>
        <w:t>CPACS</w:t>
      </w:r>
    </w:p>
    <w:p>
      <w:pPr>
        <w:pStyle w:val="ListBullet"/>
      </w:pPr>
      <w:r>
        <w:t>CVIS</w:t>
      </w:r>
    </w:p>
    <w:p>
      <w:pPr>
        <w:pStyle w:val="ListBullet"/>
      </w:pPr>
      <w:r>
        <w:t>Patient Monitoring</w:t>
      </w:r>
    </w:p>
    <w:p>
      <w:pPr>
        <w:pStyle w:val="ListBullet"/>
      </w:pPr>
      <w:r>
        <w:t>Multiparameter</w:t>
      </w:r>
    </w:p>
    <w:p>
      <w:pPr>
        <w:pStyle w:val="ListBullet"/>
      </w:pPr>
      <w:r>
        <w:t>Central Solutions</w:t>
      </w:r>
    </w:p>
    <w:p>
      <w:pPr>
        <w:pStyle w:val="ListBullet"/>
      </w:pPr>
      <w:r>
        <w:t>Telemetry</w:t>
      </w:r>
    </w:p>
    <w:p>
      <w:pPr>
        <w:pStyle w:val="ListBullet"/>
      </w:pPr>
      <w:r>
        <w:t>Pulse Ox</w:t>
      </w:r>
    </w:p>
    <w:p>
      <w:pPr>
        <w:pStyle w:val="ListBullet"/>
      </w:pPr>
      <w:r>
        <w:t>Clinical Networking Infrastructure</w:t>
      </w:r>
    </w:p>
    <w:p>
      <w:pPr>
        <w:pStyle w:val="ListBullet"/>
      </w:pPr>
      <w:r>
        <w:t>Life Support Solutions</w:t>
      </w:r>
    </w:p>
    <w:p>
      <w:pPr>
        <w:pStyle w:val="ListBullet"/>
      </w:pPr>
      <w:r>
        <w:t>Anesthesia</w:t>
      </w:r>
    </w:p>
    <w:p>
      <w:pPr>
        <w:pStyle w:val="ListBullet"/>
      </w:pPr>
      <w:r>
        <w:t>Respiratory Care</w:t>
      </w:r>
    </w:p>
    <w:p>
      <w:pPr>
        <w:pStyle w:val="ListBullet"/>
      </w:pPr>
      <w:r>
        <w:t>Maternal and Infant Care</w:t>
      </w:r>
    </w:p>
    <w:p/>
    <w:p>
      <w:r>
        <w:t>Budget guideline</w:t>
      </w:r>
    </w:p>
    <w:p/>
    <w:p>
      <w:r>
        <w:t>The budget is not finalized yet as many factors are still unknown. A cost breakdown should be provided in your proposal that details centralized expenses, as well as country specific costs.</w:t>
      </w:r>
    </w:p>
    <w:p/>
    <w:p>
      <w:r>
        <w:t>The offer should detail the price for annual and semi-annual reporting.</w:t>
      </w:r>
    </w:p>
    <w:p/>
    <w:p>
      <w:r>
        <w:t>Option pricing on additional countries/modalities must also be included.</w:t>
      </w:r>
    </w:p>
    <w:p/>
    <w:p>
      <w:r>
        <w:t>The project will be a competitive tender - range and depth of coverage will be important selection criteria.</w:t>
      </w:r>
    </w:p>
    <w:p/>
    <w:p>
      <w:r>
        <w:t>Any out of pocket expenses billed to Meridian Health Systems must include supporting documentation (travel, incidentals). Payment will be done only at the end of the project, under the condition that the project’s results match the proposal.</w:t>
      </w:r>
    </w:p>
    <w:p/>
    <w:p>
      <w:r>
        <w:t>Timings and Deliverables</w:t>
      </w:r>
    </w:p>
    <w:p/>
    <w:p>
      <w:pPr>
        <w:pStyle w:val="Heading2"/>
      </w:pPr>
      <w:r>
        <w:t>Your response to this proposal request is due to MHS by July 2nd [YEAR]</w:t>
      </w:r>
    </w:p>
    <w:p/>
    <w:p>
      <w:pPr>
        <w:pStyle w:val="Heading2"/>
      </w:pPr>
      <w:r>
        <w:t>Project Deliverables will include the following:</w:t>
      </w:r>
    </w:p>
    <w:p>
      <w:pPr>
        <w:pStyle w:val="Heading2"/>
      </w:pPr>
      <w:r>
        <w:t>Questionnaire development</w:t>
      </w:r>
    </w:p>
    <w:p>
      <w:pPr>
        <w:pStyle w:val="Heading2"/>
      </w:pPr>
      <w:r>
        <w:t>Recruitment</w:t>
      </w:r>
    </w:p>
    <w:p>
      <w:pPr>
        <w:pStyle w:val="ListBullet"/>
      </w:pPr>
      <w:r>
        <w:t>Final report in PowerPoint format using GE standard template. This report will include key findings, conclusions and recommendations.</w:t>
      </w:r>
    </w:p>
    <w:p>
      <w:pPr>
        <w:pStyle w:val="ListBullet"/>
      </w:pPr>
      <w:r>
        <w:t>Access to the raw data</w:t>
      </w:r>
    </w:p>
    <w:p>
      <w:pPr>
        <w:pStyle w:val="ListBullet"/>
      </w:pPr>
      <w:r>
        <w:t>In person/virtual report out to senior MHS management</w:t>
      </w:r>
    </w:p>
    <w:p/>
    <w:p>
      <w:pPr>
        <w:pStyle w:val="Heading2"/>
      </w:pPr>
      <w:r>
        <w:t>Your proposal should include the following</w:t>
      </w:r>
    </w:p>
    <w:p>
      <w:pPr>
        <w:pStyle w:val="ListBullet"/>
      </w:pPr>
      <w:r>
        <w:t>Methodology/proposed approach</w:t>
      </w:r>
    </w:p>
    <w:p>
      <w:pPr>
        <w:pStyle w:val="ListBullet"/>
      </w:pPr>
      <w:r>
        <w:t>A timeline for completing on a semi-annual basis</w:t>
      </w:r>
    </w:p>
    <w:p>
      <w:pPr>
        <w:pStyle w:val="ListBullet"/>
      </w:pPr>
      <w:r>
        <w:t>Project costs as specified in the attached variable sum sheet.</w:t>
      </w:r>
    </w:p>
    <w:p>
      <w:pPr>
        <w:pStyle w:val="ListBullet"/>
      </w:pPr>
      <w:r>
        <w:t>Include qualifications of the team involved in the project</w:t>
      </w:r>
    </w:p>
    <w:p/>
    <w:p>
      <w:r>
        <w:t>Corporate Policies</w:t>
      </w:r>
    </w:p>
    <w:p/>
    <w:p>
      <w:pPr>
        <w:pStyle w:val="ListBullet"/>
      </w:pPr>
      <w:r>
        <w:t>MHS will be soliciting proposals for this project from at least three (3) marketing research agencies when it is possible or practical.</w:t>
      </w:r>
    </w:p>
    <w:p>
      <w:pPr>
        <w:pStyle w:val="ListBullet"/>
      </w:pPr>
      <w:r>
        <w:t>MHS develops a PO and drops payment for 60% of the proposed cost up front and 40% (i.e. the remainder, upon completion of the commissioned research)</w:t>
      </w:r>
    </w:p>
    <w:p>
      <w:pPr>
        <w:pStyle w:val="ListBullet"/>
      </w:pPr>
      <w:r>
        <w:t>Research agencies are expected to execute and comply with a confidentiality agreement, or Master Services Agreement when one exists.</w:t>
      </w:r>
    </w:p>
    <w:p>
      <w:pPr>
        <w:pStyle w:val="ListBullet"/>
      </w:pPr>
      <w:r>
        <w:t>Research agencies should comply with all CASRO guidelines (Council of American Survey Research Organization [URL] ). Also note that MHS is a member of the European Pharmaceutical Research Association (EphMRA) and all market research projects must follow the EphMRA code of conduct. The PBIRG guidelines on Anti-Trust activities should be adhered.</w:t>
      </w:r>
    </w:p>
    <w:p>
      <w:pPr>
        <w:pStyle w:val="ListBullet"/>
      </w:pPr>
      <w:r>
        <w:t>NET 120 days payment (unless otherwise negotiated)</w:t>
      </w:r>
    </w:p>
    <w:p/>
    <w:p/>
    <w:p>
      <w:r>
        <w:t>Contacts</w:t>
      </w:r>
    </w:p>
    <w:p/>
    <w:p>
      <w:r>
        <w:t>Shane West</w:t>
      </w:r>
    </w:p>
    <w:p>
      <w:r>
        <w:t>Global Business Analysis Manager</w:t>
      </w:r>
    </w:p>
    <w:p>
      <w:r>
        <w:t>[PHONE]</w:t>
      </w:r>
    </w:p>
    <w:p>
      <w:r>
        <w:t>[CONTACT_EMAIL]</w:t>
      </w:r>
    </w:p>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ASSET_CODE]"/>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ASSET_CODE]"/>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ASSET_CODE]"/>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ASSET_CODE]"/>
    <w:multiLevelType w:val="singleLevel"/>
    <w:tmpl w:val="D0A62B40"/>
    <w:lvl w:ilvl="0">
      <w:start w:val="1"/>
      <w:numFmt w:val="decimal"/>
      <w:pStyle w:val="ListNumber"/>
      <w:lvlText w:val="%1."/>
      <w:lvlJc w:val="left"/>
      <w:pPr>
        <w:tabs>
          <w:tab w:val="num" w:pos="360"/>
        </w:tabs>
        <w:ind w:left="360" w:hanging="360"/>
      </w:pPr>
    </w:lvl>
  </w:abstractNum>
  <w:abstractNum w:abstractNumId="8">
    <w:nsid w:val="[ASSET_CODE]"/>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
  <Pages>1</Pages>
  <Words>0</Words>
  <Characters>0</Characters>
  <Application/>
  <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[YEAR]-12-23T23:15:00Z</dcterms:created>
  <dcterms:modified xsi:type="dcterms:W3CDTF">[YEAR]-12-23T23:15:00Z</dcterms:modified>
  <cp:category/>
  <cp:contentStatus/>
  <dc:identifier/>
  <dc:language/>
  <cp:version/>
</cp:coreProperties>
</file>