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jc w:val="center"/>
      </w:pPr>
      <w:r>
        <w:rPr>
          <w:rFonts w:ascii="Inter" w:hAnsi="Inter"/>
          <w:b/>
          <w:color w:val="DA365C"/>
          <w:sz w:val="48"/>
        </w:rPr>
        <w:t>REQUEST FOR PROPOSAL (RFP)</w:t>
      </w:r>
    </w:p>
    <w:p/>
    <w:p>
      <w:pPr>
        <w:jc w:val="center"/>
      </w:pPr>
      <w:r>
        <w:rPr>
          <w:rFonts w:ascii="Inter" w:hAnsi="Inter"/>
          <w:b/>
          <w:color w:val="4F73CD"/>
          <w:sz w:val="36"/>
        </w:rPr>
        <w:t>Target Product Profile — Quantitative Concept Testing and Claims Conjoint / Preference Share Modeling</w:t>
      </w:r>
    </w:p>
    <w:p/>
    <w:p>
      <w:pPr>
        <w:jc w:val="center"/>
      </w:pPr>
      <w:r>
        <w:rPr>
          <w:rFonts w:ascii="Inter" w:hAnsi="Inter"/>
          <w:b/>
          <w:color w:val="1F2937"/>
          <w:sz w:val="28"/>
        </w:rPr>
        <w:t>Methodology: Conjoint Analysis / Choice Modeling / DCE + Quantitative Concept Testing</w:t>
      </w:r>
    </w:p>
    <w:p/>
    <w:p>
      <w:pPr>
        <w:jc w:val="center"/>
      </w:pPr>
      <w:r>
        <w:rPr>
          <w:rFonts w:ascii="Inter" w:hAnsi="Inter"/>
          <w:b w:val="0"/>
          <w:color w:val="1F2937"/>
          <w:sz w:val="24"/>
        </w:rPr>
        <w:t>Issue Date: March 12, 2026</w:t>
      </w:r>
    </w:p>
    <w:p>
      <w:pPr>
        <w:jc w:val="center"/>
      </w:pPr>
      <w:r>
        <w:t>Submission Deadline: September 9, 2026, 5:00 PM US Eastern Time</w:t>
        <w:br/>
        <w:br/>
        <w:t>Original RFP Schedule Reference:</w:t>
        <w:br/>
        <w:t>- Market Research Services Type: Target Product Profile Quantitative Concept Testing &amp; Claims Conjoint / Preference Share Modeling</w:t>
        <w:br/>
        <w:t>- Date Issued: July 19</w:t>
        <w:br/>
        <w:t>- Project Type: Multiple</w:t>
        <w:br/>
        <w:t>- Products: New Product E (Diabetes - SGLT-1/SGLT-2 inhibitor), New Product D (Immunology - Duvalimab asthma), New Product C (Vaccine - C-Diff)</w:t>
        <w:br/>
        <w:t>- Therapeutic Areas: Diabetes, Immunology, Vaccines</w:t>
        <w:br/>
        <w:t>- Markets: Key Global Markets (specified per therapy)</w:t>
        <w:br/>
        <w:t>- RFP Response Originally Due: August 19, 11:59 PM US Eastern Time</w:t>
      </w:r>
    </w:p>
    <w:p/>
    <w:p>
      <w:pPr>
        <w:jc w:val="center"/>
      </w:pPr>
      <w:r>
        <w:rPr>
          <w:rFonts w:ascii="Inter" w:hAnsi="Inter"/>
          <w:b/>
          <w:color w:val="DA365C"/>
          <w:sz w:val="28"/>
        </w:rPr>
        <w:t>CONFIDENTIAL AND PROPRIETARY</w:t>
      </w:r>
    </w:p>
    <w:p>
      <w:r>
        <w:br w:type="page"/>
      </w:r>
    </w:p>
    <w:p>
      <w:pPr>
        <w:pStyle w:val="Heading1"/>
      </w:pPr>
      <w:r>
        <w:rPr>
          <w:rFonts w:ascii="Inter" w:hAnsi="Inter"/>
          <w:b/>
          <w:color w:val="DA365C"/>
          <w:sz w:val="32"/>
        </w:rPr>
        <w:t>Contact &amp; Issuer Information</w:t>
      </w:r>
    </w:p>
    <w:p>
      <w:r>
        <w:rPr>
          <w:rFonts w:ascii="Inter" w:hAnsi="Inter"/>
          <w:b/>
          <w:color w:val="1F2937"/>
          <w:sz w:val="22"/>
        </w:rPr>
        <w:t>RFP Issuer: [CLIENT_ORG] Group Global Procurement and Global Insights &amp; Analytics</w:t>
      </w:r>
    </w:p>
    <w:p>
      <w:r>
        <w:rPr>
          <w:rFonts w:ascii="Inter" w:hAnsi="Inter"/>
          <w:b w:val="0"/>
          <w:color w:val="1F2937"/>
          <w:sz w:val="22"/>
        </w:rPr>
        <w:t>On behalf of: All human health pharma and vaccines global business units</w:t>
      </w:r>
    </w:p>
    <w:p>
      <w:r>
        <w:rPr>
          <w:rFonts w:ascii="Inter" w:hAnsi="Inter"/>
          <w:b w:val="0"/>
          <w:color w:val="1F2937"/>
          <w:sz w:val="22"/>
        </w:rPr>
        <w:t>Contact Protocol:</w:t>
      </w:r>
    </w:p>
    <w:p>
      <w:r>
        <w:rPr>
          <w:rFonts w:ascii="Inter" w:hAnsi="Inter"/>
          <w:b w:val="0"/>
          <w:color w:val="1F2937"/>
          <w:sz w:val="22"/>
        </w:rPr>
        <w:t>• All communications must be directed to both Procurement and Business Sponsor jointly</w:t>
      </w:r>
    </w:p>
    <w:p>
      <w:r>
        <w:rPr>
          <w:rFonts w:ascii="Inter" w:hAnsi="Inter"/>
          <w:b w:val="0"/>
          <w:color w:val="1F2937"/>
          <w:sz w:val="22"/>
        </w:rPr>
        <w:t>• No direct contact permitted with other personnel including senior management</w:t>
      </w:r>
    </w:p>
    <w:p>
      <w:r>
        <w:t>Questions deadline: August 23, 2026, 11:59 PM ET</w:t>
        <w:br/>
        <w:t>All questions must be submitted in writing during this limited period.</w:t>
        <w:br/>
        <w:t>Key contacts for answering will depend on the nature of the request (Procurement vs. Customer Insights/Technical).</w:t>
        <w:br/>
        <w:t>Responses will be shared with all bidders.</w:t>
        <w:br/>
        <w:t>No oral clarifications will be provided.</w:t>
      </w:r>
    </w:p>
    <w:p>
      <w:pPr>
        <w:pStyle w:val="Heading1"/>
      </w:pPr>
      <w:r>
        <w:rPr>
          <w:rFonts w:ascii="Inter" w:hAnsi="Inter"/>
          <w:b/>
          <w:color w:val="DA365C"/>
          <w:sz w:val="32"/>
        </w:rPr>
        <w:t>Introduction &amp; Company Overview</w:t>
      </w:r>
    </w:p>
    <w:p>
      <w:r>
        <w:rPr>
          <w:rFonts w:ascii="Inter" w:hAnsi="Inter"/>
          <w:b w:val="0"/>
          <w:color w:val="1F2937"/>
          <w:sz w:val="22"/>
        </w:rPr>
        <w:t>[CLIENT_ORG] is a global healthcare company focused on patient needs with a diversified offering of branded and generic prescription medicines, consumer healthcare, vaccines, and animal health products.</w:t>
      </w:r>
    </w:p>
    <w:p>
      <w:r>
        <w:rPr>
          <w:rFonts w:ascii="Inter" w:hAnsi="Inter"/>
          <w:b w:val="0"/>
          <w:color w:val="1F2937"/>
          <w:sz w:val="22"/>
        </w:rPr>
        <w:t>Company Profile:</w:t>
      </w:r>
    </w:p>
    <w:p>
      <w:r>
        <w:rPr>
          <w:rFonts w:ascii="Inter" w:hAnsi="Inter"/>
          <w:b w:val="0"/>
          <w:color w:val="1F2937"/>
          <w:sz w:val="22"/>
        </w:rPr>
        <w:t>• Net sales: €37 billion annually</w:t>
      </w:r>
    </w:p>
    <w:p>
      <w:r>
        <w:rPr>
          <w:rFonts w:ascii="Inter" w:hAnsi="Inter"/>
          <w:b w:val="0"/>
          <w:color w:val="1F2937"/>
          <w:sz w:val="22"/>
        </w:rPr>
        <w:t>• Global workforce: 110,000+ associates</w:t>
      </w:r>
    </w:p>
    <w:p>
      <w:r>
        <w:rPr>
          <w:rFonts w:ascii="Inter" w:hAnsi="Inter"/>
          <w:b w:val="0"/>
          <w:color w:val="1F2937"/>
          <w:sz w:val="22"/>
        </w:rPr>
        <w:t>• Geographic presence: 100+ countries worldwide</w:t>
      </w:r>
    </w:p>
    <w:p>
      <w:r>
        <w:rPr>
          <w:rFonts w:ascii="Inter" w:hAnsi="Inter"/>
          <w:b w:val="0"/>
          <w:color w:val="1F2937"/>
          <w:sz w:val="22"/>
        </w:rPr>
        <w:t>Business Units:</w:t>
      </w:r>
    </w:p>
    <w:p>
      <w:r>
        <w:rPr>
          <w:rFonts w:ascii="Inter" w:hAnsi="Inter"/>
          <w:b w:val="0"/>
          <w:color w:val="1F2937"/>
          <w:sz w:val="22"/>
        </w:rPr>
        <w:t>• Diabetes &amp; Cardiovascular</w:t>
      </w:r>
    </w:p>
    <w:p>
      <w:r>
        <w:rPr>
          <w:rFonts w:ascii="Inter" w:hAnsi="Inter"/>
          <w:b w:val="0"/>
          <w:color w:val="1F2937"/>
          <w:sz w:val="22"/>
        </w:rPr>
        <w:t>• General Medicines</w:t>
      </w:r>
    </w:p>
    <w:p>
      <w:r>
        <w:rPr>
          <w:rFonts w:ascii="Inter" w:hAnsi="Inter"/>
          <w:b w:val="0"/>
          <w:color w:val="1F2937"/>
          <w:sz w:val="22"/>
        </w:rPr>
        <w:t>• Genzyme (Multiple Sclerosis, Rare Diseases, Oncology, Immunology)</w:t>
      </w:r>
    </w:p>
    <w:p>
      <w:r>
        <w:rPr>
          <w:rFonts w:ascii="Inter" w:hAnsi="Inter"/>
          <w:b w:val="0"/>
          <w:color w:val="1F2937"/>
          <w:sz w:val="22"/>
        </w:rPr>
        <w:t>• Pasteur (vaccines)</w:t>
      </w:r>
    </w:p>
    <w:p>
      <w:r>
        <w:rPr>
          <w:rFonts w:ascii="Inter" w:hAnsi="Inter"/>
          <w:b w:val="0"/>
          <w:color w:val="1F2937"/>
          <w:sz w:val="22"/>
        </w:rPr>
        <w:t>• Consumer Healthcare</w:t>
      </w:r>
    </w:p>
    <w:p>
      <w:r>
        <w:rPr>
          <w:rFonts w:ascii="Inter" w:hAnsi="Inter"/>
          <w:b w:val="0"/>
          <w:color w:val="1F2937"/>
          <w:sz w:val="22"/>
        </w:rPr>
        <w:t>• Merial (animal health)</w:t>
      </w:r>
    </w:p>
    <w:p>
      <w:pPr>
        <w:pStyle w:val="Heading1"/>
      </w:pPr>
      <w:r>
        <w:rPr>
          <w:rFonts w:ascii="Inter" w:hAnsi="Inter"/>
          <w:b/>
          <w:color w:val="DA365C"/>
          <w:sz w:val="32"/>
        </w:rPr>
        <w:t>Confidentiality &amp; Legal Terms</w:t>
      </w:r>
    </w:p>
    <w:p>
      <w:r>
        <w:rPr>
          <w:rFonts w:ascii="Inter" w:hAnsi="Inter"/>
          <w:b/>
          <w:color w:val="1F2937"/>
          <w:sz w:val="22"/>
        </w:rPr>
        <w:t>CONFIDENTIALITY CLAUSE</w:t>
      </w:r>
    </w:p>
    <w:p>
      <w:r>
        <w:rPr>
          <w:rFonts w:ascii="Inter" w:hAnsi="Inter"/>
          <w:b w:val="0"/>
          <w:color w:val="1F2937"/>
          <w:sz w:val="22"/>
        </w:rPr>
        <w:t>All information contained in this RFP is the exclusive property of [CLIENT_ORG] and is strictly confidential. All bidders must execute a confidentiality agreement prior to RFP review. Any breach of confidentiality will result in immediate disqualification from the RFP process and may result in legal action for damages. All RFP materials must be returned or destroyed at the conclusion of the RFP process.</w:t>
      </w:r>
    </w:p>
    <w:p>
      <w:r>
        <w:rPr>
          <w:rFonts w:ascii="Inter" w:hAnsi="Inter"/>
          <w:b/>
          <w:color w:val="1F2937"/>
          <w:sz w:val="22"/>
        </w:rPr>
        <w:t>LEGAL TERMS &amp; CONDITIONS</w:t>
      </w:r>
    </w:p>
    <w:p>
      <w:r>
        <w:rPr>
          <w:rFonts w:ascii="Inter" w:hAnsi="Inter"/>
          <w:b w:val="0"/>
          <w:color w:val="1F2937"/>
          <w:sz w:val="22"/>
        </w:rPr>
        <w:t>Publicity Restrictions:</w:t>
      </w:r>
    </w:p>
    <w:p>
      <w:r>
        <w:rPr>
          <w:rFonts w:ascii="Inter" w:hAnsi="Inter"/>
          <w:b w:val="0"/>
          <w:color w:val="1F2937"/>
          <w:sz w:val="22"/>
        </w:rPr>
        <w:t>No bidder may make any public announcements, press releases, or other communications regarding their participation in this RFP process without prior written consent from [CLIENT_ORG].</w:t>
      </w:r>
    </w:p>
    <w:p>
      <w:r>
        <w:rPr>
          <w:rFonts w:ascii="Inter" w:hAnsi="Inter"/>
          <w:b w:val="0"/>
          <w:color w:val="1F2937"/>
          <w:sz w:val="22"/>
        </w:rPr>
        <w:t>Use of Subcontractors:</w:t>
      </w:r>
    </w:p>
    <w:p>
      <w:r>
        <w:rPr>
          <w:rFonts w:ascii="Inter" w:hAnsi="Inter"/>
          <w:b w:val="0"/>
          <w:color w:val="1F2937"/>
          <w:sz w:val="22"/>
        </w:rPr>
        <w:t>Full transparency required regarding any subcontractor arrangements. Written approval from [CLIENT_ORG] required for all subcontractors. The primary bidder remains the sole point of contract and is fully responsible for all subcontractor acts, omissions, and defaults.</w:t>
      </w:r>
    </w:p>
    <w:p>
      <w:r>
        <w:rPr>
          <w:rFonts w:ascii="Inter" w:hAnsi="Inter"/>
          <w:b w:val="0"/>
          <w:color w:val="1F2937"/>
          <w:sz w:val="22"/>
        </w:rPr>
        <w:t>Incurred Costs:</w:t>
      </w:r>
    </w:p>
    <w:p>
      <w:r>
        <w:rPr>
          <w:rFonts w:ascii="Inter" w:hAnsi="Inter"/>
          <w:b w:val="0"/>
          <w:color w:val="1F2937"/>
          <w:sz w:val="22"/>
        </w:rPr>
        <w:t>Bidders are solely responsible for all costs incurred in connection with this RFP, including any proof-of-concept activities. [CLIENT_ORG] shall not be liable for any such costs regardless of RFP outcome.</w:t>
      </w:r>
    </w:p>
    <w:p>
      <w:r>
        <w:rPr>
          <w:rFonts w:ascii="Inter" w:hAnsi="Inter"/>
          <w:b w:val="0"/>
          <w:color w:val="1F2937"/>
          <w:sz w:val="22"/>
        </w:rPr>
        <w:t>Limitation of Liability:</w:t>
      </w:r>
    </w:p>
    <w:p>
      <w:r>
        <w:rPr>
          <w:rFonts w:ascii="Inter" w:hAnsi="Inter"/>
          <w:b w:val="0"/>
          <w:color w:val="1F2937"/>
          <w:sz w:val="22"/>
        </w:rPr>
        <w:t>[CLIENT_ORG] shall have no liability whatsoever to bidders in connection with this RFP process, including but not limited to any delays, cancellations, or changes to requirements.</w:t>
      </w:r>
    </w:p>
    <w:p>
      <w:r>
        <w:rPr>
          <w:rFonts w:ascii="Inter" w:hAnsi="Inter"/>
          <w:b w:val="0"/>
          <w:color w:val="1F2937"/>
          <w:sz w:val="22"/>
        </w:rPr>
        <w:t>Sarbanes-Oxley (SOX) Compliance:</w:t>
      </w:r>
    </w:p>
    <w:p>
      <w:r>
        <w:rPr>
          <w:rFonts w:ascii="Inter" w:hAnsi="Inter"/>
          <w:b w:val="0"/>
          <w:color w:val="1F2937"/>
          <w:sz w:val="22"/>
        </w:rPr>
        <w:t>Section 404 compliance is mandatory. Key audit areas include:</w:t>
      </w:r>
    </w:p>
    <w:p>
      <w:r>
        <w:rPr>
          <w:rFonts w:ascii="Inter" w:hAnsi="Inter"/>
          <w:b w:val="0"/>
          <w:color w:val="1F2937"/>
          <w:sz w:val="22"/>
        </w:rPr>
        <w:t>• Install &amp; Accredit Systems</w:t>
      </w:r>
    </w:p>
    <w:p>
      <w:r>
        <w:rPr>
          <w:rFonts w:ascii="Inter" w:hAnsi="Inter"/>
          <w:b w:val="0"/>
          <w:color w:val="1F2937"/>
          <w:sz w:val="22"/>
        </w:rPr>
        <w:t>• Manage Changes</w:t>
      </w:r>
    </w:p>
    <w:p>
      <w:r>
        <w:rPr>
          <w:rFonts w:ascii="Inter" w:hAnsi="Inter"/>
          <w:b w:val="0"/>
          <w:color w:val="1F2937"/>
          <w:sz w:val="22"/>
        </w:rPr>
        <w:t>• Ensure System Security</w:t>
      </w:r>
    </w:p>
    <w:p>
      <w:r>
        <w:rPr>
          <w:rFonts w:ascii="Inter" w:hAnsi="Inter"/>
          <w:b w:val="0"/>
          <w:color w:val="1F2937"/>
          <w:sz w:val="22"/>
        </w:rPr>
        <w:t>• Manage Data</w:t>
      </w:r>
    </w:p>
    <w:p>
      <w:r>
        <w:rPr>
          <w:rFonts w:ascii="Inter" w:hAnsi="Inter"/>
          <w:b w:val="0"/>
          <w:color w:val="1F2937"/>
          <w:sz w:val="22"/>
        </w:rPr>
        <w:t>• Manage Operations</w:t>
      </w:r>
    </w:p>
    <w:p>
      <w:r>
        <w:rPr>
          <w:rFonts w:ascii="Inter" w:hAnsi="Inter"/>
          <w:b w:val="0"/>
          <w:color w:val="1F2937"/>
          <w:sz w:val="22"/>
        </w:rPr>
        <w:t>Specific Standard Operating Procedures (SOPs) must be followed and documented.</w:t>
      </w:r>
    </w:p>
    <w:p>
      <w:pPr>
        <w:pStyle w:val="Heading1"/>
      </w:pPr>
      <w:r>
        <w:rPr>
          <w:rFonts w:ascii="Inter" w:hAnsi="Inter"/>
          <w:b/>
          <w:color w:val="DA365C"/>
          <w:sz w:val="32"/>
        </w:rPr>
        <w:t>Project Background &amp; Context</w:t>
      </w:r>
    </w:p>
    <w:p>
      <w:r>
        <w:rPr>
          <w:rFonts w:ascii="Inter" w:hAnsi="Inter"/>
          <w:b/>
          <w:color w:val="1F2937"/>
          <w:sz w:val="22"/>
        </w:rPr>
        <w:t>RFP PURPOSE</w:t>
      </w:r>
    </w:p>
    <w:p>
      <w:r>
        <w:rPr>
          <w:rFonts w:ascii="Inter" w:hAnsi="Inter"/>
          <w:b w:val="0"/>
          <w:color w:val="1F2937"/>
          <w:sz w:val="22"/>
        </w:rPr>
        <w:t>This RFP is issued by [CLIENT_ORG] Group Global Procurement and Global Insights &amp; Analytics to obtain competitive bids for Primary Market Research services specifically focused on Target Product Profile (TPP) Concept Testing and Claims Conjoint analysis.</w:t>
      </w:r>
    </w:p>
    <w:p>
      <w:r>
        <w:rPr>
          <w:rFonts w:ascii="Inter" w:hAnsi="Inter"/>
          <w:b/>
          <w:color w:val="1F2937"/>
          <w:sz w:val="22"/>
        </w:rPr>
        <w:t>STRATEGIC INTENT</w:t>
      </w:r>
    </w:p>
    <w:p>
      <w:r>
        <w:rPr>
          <w:rFonts w:ascii="Inter" w:hAnsi="Inter"/>
          <w:b w:val="0"/>
          <w:color w:val="1F2937"/>
          <w:sz w:val="22"/>
        </w:rPr>
        <w:t>[CLIENT_ORG] Global Customer Insights sponsors the development of best practice frameworks to support strategic marketing decisions across our portfolio. We currently support more than 10 promoted brands across multiple therapeutic areas including:</w:t>
      </w:r>
    </w:p>
    <w:p>
      <w:r>
        <w:rPr>
          <w:rFonts w:ascii="Inter" w:hAnsi="Inter"/>
          <w:b w:val="0"/>
          <w:color w:val="1F2937"/>
          <w:sz w:val="22"/>
        </w:rPr>
        <w:t>• Diabetes</w:t>
      </w:r>
    </w:p>
    <w:p>
      <w:r>
        <w:rPr>
          <w:rFonts w:ascii="Inter" w:hAnsi="Inter"/>
          <w:b w:val="0"/>
          <w:color w:val="1F2937"/>
          <w:sz w:val="22"/>
        </w:rPr>
        <w:t>• Cardiovascular</w:t>
      </w:r>
    </w:p>
    <w:p>
      <w:r>
        <w:rPr>
          <w:rFonts w:ascii="Inter" w:hAnsi="Inter"/>
          <w:b w:val="0"/>
          <w:color w:val="1F2937"/>
          <w:sz w:val="22"/>
        </w:rPr>
        <w:t>• Multiple Sclerosis</w:t>
      </w:r>
    </w:p>
    <w:p>
      <w:r>
        <w:rPr>
          <w:rFonts w:ascii="Inter" w:hAnsi="Inter"/>
          <w:b w:val="0"/>
          <w:color w:val="1F2937"/>
          <w:sz w:val="22"/>
        </w:rPr>
        <w:t>• Rare Diseases</w:t>
      </w:r>
    </w:p>
    <w:p>
      <w:r>
        <w:rPr>
          <w:rFonts w:ascii="Inter" w:hAnsi="Inter"/>
          <w:b w:val="0"/>
          <w:color w:val="1F2937"/>
          <w:sz w:val="22"/>
        </w:rPr>
        <w:t>• Renal</w:t>
      </w:r>
    </w:p>
    <w:p>
      <w:r>
        <w:rPr>
          <w:rFonts w:ascii="Inter" w:hAnsi="Inter"/>
          <w:b w:val="0"/>
          <w:color w:val="1F2937"/>
          <w:sz w:val="22"/>
        </w:rPr>
        <w:t>• Biosurgery</w:t>
      </w:r>
    </w:p>
    <w:p>
      <w:r>
        <w:rPr>
          <w:rFonts w:ascii="Inter" w:hAnsi="Inter"/>
          <w:b w:val="0"/>
          <w:color w:val="1F2937"/>
          <w:sz w:val="22"/>
        </w:rPr>
        <w:t>• Oncology</w:t>
      </w:r>
    </w:p>
    <w:p>
      <w:r>
        <w:rPr>
          <w:rFonts w:ascii="Inter" w:hAnsi="Inter"/>
          <w:b w:val="0"/>
          <w:color w:val="1F2937"/>
          <w:sz w:val="22"/>
        </w:rPr>
        <w:t>• Vaccines</w:t>
      </w:r>
    </w:p>
    <w:p>
      <w:r>
        <w:rPr>
          <w:rFonts w:ascii="Inter" w:hAnsi="Inter"/>
          <w:b w:val="0"/>
          <w:color w:val="1F2937"/>
          <w:sz w:val="22"/>
        </w:rPr>
        <w:t>With upcoming launches into:</w:t>
      </w:r>
    </w:p>
    <w:p>
      <w:r>
        <w:rPr>
          <w:rFonts w:ascii="Inter" w:hAnsi="Inter"/>
          <w:b w:val="0"/>
          <w:color w:val="1F2937"/>
          <w:sz w:val="22"/>
        </w:rPr>
        <w:t>• Rheumatoid Arthritis (RA)</w:t>
      </w:r>
    </w:p>
    <w:p>
      <w:r>
        <w:rPr>
          <w:rFonts w:ascii="Inter" w:hAnsi="Inter"/>
          <w:b w:val="0"/>
          <w:color w:val="1F2937"/>
          <w:sz w:val="22"/>
        </w:rPr>
        <w:t>• Atopic Dermatitis</w:t>
      </w:r>
    </w:p>
    <w:p>
      <w:r>
        <w:rPr>
          <w:rFonts w:ascii="Inter" w:hAnsi="Inter"/>
          <w:b w:val="0"/>
          <w:color w:val="1F2937"/>
          <w:sz w:val="22"/>
        </w:rPr>
        <w:t>• Asthma</w:t>
      </w:r>
    </w:p>
    <w:p>
      <w:r>
        <w:rPr>
          <w:rFonts w:ascii="Inter" w:hAnsi="Inter"/>
          <w:b w:val="0"/>
          <w:color w:val="1F2937"/>
          <w:sz w:val="22"/>
        </w:rPr>
        <w:t>• New Vaccine indications</w:t>
      </w:r>
    </w:p>
    <w:p>
      <w:r>
        <w:t>We are seeking to identify and partner with firms capable of delivering 'best-in-class' market research to inform critical 'Where to Play' marketing choices through sophisticated TPP concept testing and preference share simulation modeling.</w:t>
        <w:br/>
        <w:br/>
        <w:t>IMPORTANT ASSUMPTION: You should assume that basic situation analysis on the market and trends, the size of the market / epidemiology, and competitive landscape audit work are largely in place. This research builds upon existing market understanding.</w:t>
      </w:r>
    </w:p>
    <w:p>
      <w:r>
        <w:rPr>
          <w:rFonts w:ascii="Inter" w:hAnsi="Inter"/>
          <w:b/>
          <w:color w:val="1F2937"/>
          <w:sz w:val="22"/>
        </w:rPr>
        <w:t>PARTNERSHIP TIERS</w:t>
      </w:r>
    </w:p>
    <w:p>
      <w:r>
        <w:rPr>
          <w:rFonts w:ascii="Inter" w:hAnsi="Inter"/>
          <w:b w:val="0"/>
          <w:color w:val="1F2937"/>
          <w:sz w:val="22"/>
        </w:rPr>
        <w:t>Our intent is to select providers for two partnership tiers:</w:t>
      </w:r>
    </w:p>
    <w:p>
      <w:r>
        <w:rPr>
          <w:rFonts w:ascii="Inter" w:hAnsi="Inter"/>
          <w:b w:val="0"/>
          <w:color w:val="1F2937"/>
          <w:sz w:val="22"/>
        </w:rPr>
        <w:t>• Tier 1: 'Agency of Record' status</w:t>
      </w:r>
    </w:p>
    <w:p>
      <w:r>
        <w:rPr>
          <w:rFonts w:ascii="Inter" w:hAnsi="Inter"/>
          <w:b w:val="0"/>
          <w:color w:val="1F2937"/>
          <w:sz w:val="22"/>
        </w:rPr>
        <w:t>• Tier 2: 'Preferred Partner' designation</w:t>
      </w:r>
    </w:p>
    <w:p>
      <w:r>
        <w:t>We recognize that no single firm may possess all required capabilities at the highest level. [CLIENT_ORG] does not expect any one firm to have the full suite of capabilities to deliver 'best-in-class' market research to support all steps. Bidders should focus their proposals only on components where they have 'best in class' differentiated capabilities.</w:t>
      </w:r>
    </w:p>
    <w:p>
      <w:pPr>
        <w:pStyle w:val="Heading1"/>
      </w:pPr>
      <w:r>
        <w:rPr>
          <w:rFonts w:ascii="Inter" w:hAnsi="Inter"/>
          <w:b/>
          <w:color w:val="DA365C"/>
          <w:sz w:val="32"/>
        </w:rPr>
        <w:t>Business &amp; Research Objectives</w:t>
      </w:r>
    </w:p>
    <w:p>
      <w:r>
        <w:rPr>
          <w:rFonts w:ascii="Inter" w:hAnsi="Inter"/>
          <w:b/>
          <w:color w:val="1F2937"/>
          <w:sz w:val="22"/>
        </w:rPr>
        <w:t>KEY MARKETING FRAMEWORKS</w:t>
      </w:r>
    </w:p>
    <w:p>
      <w:r>
        <w:rPr>
          <w:rFonts w:ascii="Inter" w:hAnsi="Inter"/>
          <w:b w:val="0"/>
          <w:color w:val="1F2937"/>
          <w:sz w:val="22"/>
        </w:rPr>
        <w:t>Our research must inform the fundamental strategic question: 'Where to Play?' This includes:</w:t>
      </w:r>
    </w:p>
    <w:p>
      <w:r>
        <w:rPr>
          <w:rFonts w:ascii="Inter" w:hAnsi="Inter"/>
          <w:b w:val="0"/>
          <w:color w:val="1F2937"/>
          <w:sz w:val="22"/>
        </w:rPr>
        <w:t>• Quantifying the size of opportunity for base, low, and high TPP scenarios</w:t>
      </w:r>
    </w:p>
    <w:p>
      <w:r>
        <w:rPr>
          <w:rFonts w:ascii="Inter" w:hAnsi="Inter"/>
          <w:b w:val="0"/>
          <w:color w:val="1F2937"/>
          <w:sz w:val="22"/>
        </w:rPr>
        <w:t>• Understanding sensitivity of preference share to various clinical endpoints and claims</w:t>
      </w:r>
    </w:p>
    <w:p>
      <w:r>
        <w:rPr>
          <w:rFonts w:ascii="Inter" w:hAnsi="Inter"/>
          <w:b w:val="0"/>
          <w:color w:val="1F2937"/>
          <w:sz w:val="22"/>
        </w:rPr>
        <w:t>• Contextualizing opportunities within current and anticipated future competitive landscapes</w:t>
      </w:r>
    </w:p>
    <w:p>
      <w:pPr>
        <w:pStyle w:val="Heading1"/>
      </w:pPr>
      <w:r>
        <w:rPr>
          <w:rFonts w:ascii="Inter" w:hAnsi="Inter"/>
          <w:b/>
          <w:color w:val="DA365C"/>
          <w:sz w:val="32"/>
        </w:rPr>
        <w:t>Methodology &amp; Scope</w:t>
      </w:r>
    </w:p>
    <w:p>
      <w:r>
        <w:rPr>
          <w:rFonts w:ascii="Inter" w:hAnsi="Inter"/>
          <w:b/>
          <w:color w:val="1F2937"/>
          <w:sz w:val="22"/>
        </w:rPr>
        <w:t>This RFP encompasses two interconnected research stages, each critical to comprehensive market understanding:</w:t>
      </w:r>
    </w:p>
    <w:p>
      <w:r>
        <w:rPr>
          <w:rFonts w:ascii="Inter" w:hAnsi="Inter"/>
          <w:b/>
          <w:color w:val="1F2937"/>
          <w:sz w:val="22"/>
        </w:rPr>
        <w:t>STAGE 1: QUANTITATIVE TPP CONCEPT TESTING</w:t>
      </w:r>
    </w:p>
    <w:p>
      <w:r>
        <w:rPr>
          <w:rFonts w:ascii="Inter" w:hAnsi="Inter"/>
          <w:b w:val="0"/>
          <w:color w:val="1F2937"/>
          <w:sz w:val="22"/>
        </w:rPr>
        <w:t>Primary Objectives:</w:t>
      </w:r>
    </w:p>
    <w:p>
      <w:r>
        <w:rPr>
          <w:rFonts w:ascii="Inter" w:hAnsi="Inter"/>
          <w:b w:val="0"/>
          <w:color w:val="1F2937"/>
          <w:sz w:val="22"/>
        </w:rPr>
        <w:t>• Quantify opportunity size among physicians based on base case TPP with flexibility for high/low case scenarios</w:t>
      </w:r>
    </w:p>
    <w:p>
      <w:r>
        <w:rPr>
          <w:rFonts w:ascii="Inter" w:hAnsi="Inter"/>
          <w:b w:val="0"/>
          <w:color w:val="1F2937"/>
          <w:sz w:val="22"/>
        </w:rPr>
        <w:t>• Employ methods that are validated and predictive of in-market performance</w:t>
      </w:r>
    </w:p>
    <w:p>
      <w:r>
        <w:rPr>
          <w:rFonts w:ascii="Inter" w:hAnsi="Inter"/>
          <w:b w:val="0"/>
          <w:color w:val="1F2937"/>
          <w:sz w:val="22"/>
        </w:rPr>
        <w:t>• Qualify TPP strength via key measures with established normative benchmarks</w:t>
      </w:r>
    </w:p>
    <w:p>
      <w:r>
        <w:rPr>
          <w:rFonts w:ascii="Inter" w:hAnsi="Inter"/>
          <w:b w:val="0"/>
          <w:color w:val="1F2937"/>
          <w:sz w:val="22"/>
        </w:rPr>
        <w:t>• Provide diagnostic advice on strengthening TPP concepts</w:t>
      </w:r>
    </w:p>
    <w:p>
      <w:r>
        <w:rPr>
          <w:rFonts w:ascii="Inter" w:hAnsi="Inter"/>
          <w:b w:val="0"/>
          <w:color w:val="1F2937"/>
          <w:sz w:val="22"/>
        </w:rPr>
        <w:t>Detailed Requirements:</w:t>
      </w:r>
    </w:p>
    <w:p>
      <w:r>
        <w:rPr>
          <w:rFonts w:ascii="Inter" w:hAnsi="Inter"/>
          <w:b w:val="0"/>
          <w:color w:val="1F2937"/>
          <w:sz w:val="22"/>
        </w:rPr>
        <w:t>• Profile likely prescribers by physician segments</w:t>
      </w:r>
    </w:p>
    <w:p>
      <w:r>
        <w:rPr>
          <w:rFonts w:ascii="Inter" w:hAnsi="Inter"/>
          <w:b w:val="0"/>
          <w:color w:val="1F2937"/>
          <w:sz w:val="22"/>
        </w:rPr>
        <w:t>• Profile likely source of business by patient type</w:t>
      </w:r>
    </w:p>
    <w:p>
      <w:r>
        <w:rPr>
          <w:rFonts w:ascii="Inter" w:hAnsi="Inter"/>
          <w:b w:val="0"/>
          <w:color w:val="1F2937"/>
          <w:sz w:val="22"/>
        </w:rPr>
        <w:t>• Estimate share and source impact from key competitors</w:t>
      </w:r>
    </w:p>
    <w:p>
      <w:r>
        <w:rPr>
          <w:rFonts w:ascii="Inter" w:hAnsi="Inter"/>
          <w:b w:val="0"/>
          <w:color w:val="1F2937"/>
          <w:sz w:val="22"/>
        </w:rPr>
        <w:t>• Estimate impact of price/market access factors</w:t>
      </w:r>
    </w:p>
    <w:p>
      <w:r>
        <w:rPr>
          <w:rFonts w:ascii="Inter" w:hAnsi="Inter"/>
          <w:b w:val="0"/>
          <w:color w:val="1F2937"/>
          <w:sz w:val="22"/>
        </w:rPr>
        <w:t>• Account for various marketing support levels</w:t>
      </w:r>
    </w:p>
    <w:p>
      <w:r>
        <w:rPr>
          <w:rFonts w:ascii="Inter" w:hAnsi="Inter"/>
          <w:b w:val="0"/>
          <w:color w:val="1F2937"/>
          <w:sz w:val="22"/>
        </w:rPr>
        <w:t>• Maintain flexibility for current and anticipated future market competitors</w:t>
      </w:r>
    </w:p>
    <w:p>
      <w:r>
        <w:rPr>
          <w:rFonts w:ascii="Inter" w:hAnsi="Inter"/>
          <w:b/>
          <w:color w:val="1F2937"/>
          <w:sz w:val="22"/>
        </w:rPr>
        <w:t>STAGE 2: CLAIMS CONJOINT / PREFERENCE SHARE SIMULATION MODEL</w:t>
      </w:r>
    </w:p>
    <w:p>
      <w:r>
        <w:rPr>
          <w:rFonts w:ascii="Inter" w:hAnsi="Inter"/>
          <w:b w:val="0"/>
          <w:color w:val="1F2937"/>
          <w:sz w:val="22"/>
        </w:rPr>
        <w:t>Primary Objectives:</w:t>
      </w:r>
    </w:p>
    <w:p>
      <w:r>
        <w:rPr>
          <w:rFonts w:ascii="Inter" w:hAnsi="Inter"/>
          <w:b w:val="0"/>
          <w:color w:val="1F2937"/>
          <w:sz w:val="22"/>
        </w:rPr>
        <w:t>• Quantify physician preference share for launch candidate based on base case attributes and outcomes</w:t>
      </w:r>
    </w:p>
    <w:p>
      <w:r>
        <w:rPr>
          <w:rFonts w:ascii="Inter" w:hAnsi="Inter"/>
          <w:b w:val="0"/>
          <w:color w:val="1F2937"/>
          <w:sz w:val="22"/>
        </w:rPr>
        <w:t>• Translate claimed share to realistic launch and peak year share projections</w:t>
      </w:r>
    </w:p>
    <w:p>
      <w:r>
        <w:rPr>
          <w:rFonts w:ascii="Inter" w:hAnsi="Inter"/>
          <w:b w:val="0"/>
          <w:color w:val="1F2937"/>
          <w:sz w:val="22"/>
        </w:rPr>
        <w:t>• Validated case studies demonstrating accuracy preferred</w:t>
      </w:r>
    </w:p>
    <w:p>
      <w:r>
        <w:rPr>
          <w:rFonts w:ascii="Inter" w:hAnsi="Inter"/>
          <w:b w:val="0"/>
          <w:color w:val="1F2937"/>
          <w:sz w:val="22"/>
        </w:rPr>
        <w:t>Advanced Analytics Requirements:</w:t>
      </w:r>
    </w:p>
    <w:p>
      <w:r>
        <w:rPr>
          <w:rFonts w:ascii="Inter" w:hAnsi="Inter"/>
          <w:b w:val="0"/>
          <w:color w:val="1F2937"/>
          <w:sz w:val="22"/>
        </w:rPr>
        <w:t>• Sensitivity analysis of preference share based on range of high/low case endpoints</w:t>
      </w:r>
    </w:p>
    <w:p>
      <w:r>
        <w:rPr>
          <w:rFonts w:ascii="Inter" w:hAnsi="Inter"/>
          <w:b w:val="0"/>
          <w:color w:val="1F2937"/>
          <w:sz w:val="22"/>
        </w:rPr>
        <w:t>• Sensitivity modeling based on current and future market competitor scenarios</w:t>
      </w:r>
    </w:p>
    <w:p>
      <w:r>
        <w:rPr>
          <w:rFonts w:ascii="Inter" w:hAnsi="Inter"/>
          <w:b w:val="0"/>
          <w:color w:val="1F2937"/>
          <w:sz w:val="22"/>
        </w:rPr>
        <w:t>• Profile likely prescribers with detailed segmentation</w:t>
      </w:r>
    </w:p>
    <w:p>
      <w:r>
        <w:rPr>
          <w:rFonts w:ascii="Inter" w:hAnsi="Inter"/>
          <w:b w:val="0"/>
          <w:color w:val="1F2937"/>
          <w:sz w:val="22"/>
        </w:rPr>
        <w:t>• Profile source of business by patient type with attribution modeling</w:t>
      </w:r>
    </w:p>
    <w:p>
      <w:r>
        <w:rPr>
          <w:rFonts w:ascii="Inter" w:hAnsi="Inter"/>
          <w:b w:val="0"/>
          <w:color w:val="1F2937"/>
          <w:sz w:val="22"/>
        </w:rPr>
        <w:t>• Estimate share and source from competitors with switching analysis</w:t>
      </w:r>
    </w:p>
    <w:p>
      <w:r>
        <w:rPr>
          <w:rFonts w:ascii="Inter" w:hAnsi="Inter"/>
          <w:b w:val="0"/>
          <w:color w:val="1F2937"/>
          <w:sz w:val="22"/>
        </w:rPr>
        <w:t>• Estimate impact of price and market access variables</w:t>
      </w:r>
    </w:p>
    <w:p>
      <w:r>
        <w:rPr>
          <w:rFonts w:ascii="Inter" w:hAnsi="Inter"/>
          <w:b w:val="0"/>
          <w:color w:val="1F2937"/>
          <w:sz w:val="22"/>
        </w:rPr>
        <w:t>Simulator Model Requirements:</w:t>
      </w:r>
    </w:p>
    <w:p>
      <w:r>
        <w:t>Simulator Model Requirements:</w:t>
        <w:br/>
        <w:t>The final simulator model must be crisp, clear, and actionable for business decision-making. Business decision makers may combine outputs from both the quantitative concept tests (Stage 1) with the preference share conjoint model (Stage 2) to make strategic go/no-go investment decisions. The simulator should enable scenario planning and what-if analysis for strategic planning purposes.</w:t>
      </w:r>
    </w:p>
    <w:p>
      <w:pPr>
        <w:pStyle w:val="Heading1"/>
      </w:pPr>
      <w:r>
        <w:rPr>
          <w:rFonts w:ascii="Inter" w:hAnsi="Inter"/>
          <w:b/>
          <w:color w:val="DA365C"/>
          <w:sz w:val="32"/>
        </w:rPr>
        <w:t>Markets &amp; Geography</w:t>
      </w:r>
    </w:p>
    <w:p>
      <w:r>
        <w:rPr>
          <w:rFonts w:ascii="Inter" w:hAnsi="Inter"/>
          <w:b/>
          <w:color w:val="1F2937"/>
          <w:sz w:val="22"/>
        </w:rPr>
        <w:t>SCOPE: Global</w:t>
      </w:r>
    </w:p>
    <w:p>
      <w:r>
        <w:rPr>
          <w:rFonts w:ascii="Inter" w:hAnsi="Inter"/>
          <w:b w:val="0"/>
          <w:color w:val="1F2937"/>
          <w:sz w:val="22"/>
        </w:rPr>
        <w:t>This RFP encompasses research across [CLIENT_ORG]'s global markets. Specific geographic requirements will vary by therapeutic area and will be detailed in individual project specifications.</w:t>
      </w:r>
    </w:p>
    <w:p>
      <w:r>
        <w:rPr>
          <w:rFonts w:ascii="Inter" w:hAnsi="Inter"/>
          <w:b/>
          <w:color w:val="1F2937"/>
          <w:sz w:val="22"/>
        </w:rPr>
        <w:t>THERAPEUTIC AREA SPECIFICATIONS</w:t>
      </w:r>
    </w:p>
    <w:p>
      <w:r>
        <w:rPr>
          <w:rFonts w:ascii="Inter" w:hAnsi="Inter"/>
          <w:b w:val="0"/>
          <w:color w:val="1F2937"/>
          <w:sz w:val="22"/>
        </w:rPr>
        <w:t>Three exemplar therapeutic areas are included in this RFP:</w:t>
      </w:r>
    </w:p>
    <w:p>
      <w:r>
        <w:t>1. Vaccine: New Product C - CDiff (Clostridioides difficile)</w:t>
        <w:br/>
        <w:t>Target markets and specific research requirements detailed in MR Specifications Appendix</w:t>
      </w:r>
    </w:p>
    <w:p>
      <w:r>
        <w:rPr>
          <w:rFonts w:ascii="Inter" w:hAnsi="Inter"/>
          <w:b w:val="0"/>
          <w:color w:val="1F2937"/>
          <w:sz w:val="22"/>
        </w:rPr>
        <w:t xml:space="preserve">   Target markets and specific research requirements detailed in MR Specifications Appendix</w:t>
      </w:r>
    </w:p>
    <w:p>
      <w:r>
        <w:rPr>
          <w:rFonts w:ascii="Inter" w:hAnsi="Inter"/>
          <w:b w:val="0"/>
          <w:color w:val="1F2937"/>
          <w:sz w:val="22"/>
        </w:rPr>
        <w:t>2. Diabetes: SGLT-1/SGLT2 inhibitor</w:t>
      </w:r>
    </w:p>
    <w:p>
      <w:r>
        <w:rPr>
          <w:rFonts w:ascii="Inter" w:hAnsi="Inter"/>
          <w:b w:val="0"/>
          <w:color w:val="1F2937"/>
          <w:sz w:val="22"/>
        </w:rPr>
        <w:t xml:space="preserve">   Comprehensive market landscape analysis required across key diabetes markets</w:t>
      </w:r>
    </w:p>
    <w:p>
      <w:r>
        <w:rPr>
          <w:rFonts w:ascii="Inter" w:hAnsi="Inter"/>
          <w:b w:val="0"/>
          <w:color w:val="1F2937"/>
          <w:sz w:val="22"/>
        </w:rPr>
        <w:t>3. Immunology: Dupilumab Asthma indication</w:t>
      </w:r>
    </w:p>
    <w:p>
      <w:r>
        <w:rPr>
          <w:rFonts w:ascii="Inter" w:hAnsi="Inter"/>
          <w:b w:val="0"/>
          <w:color w:val="1F2937"/>
          <w:sz w:val="22"/>
        </w:rPr>
        <w:t xml:space="preserve">   Focus on competitive immunology landscape and differentiation opportunities</w:t>
      </w:r>
    </w:p>
    <w:p>
      <w:r>
        <w:t>Note: Detailed specifications for each therapeutic area are provided in the MR Specifications Appendix.</w:t>
        <w:br/>
        <w:br/>
        <w:t>Note: Please assume the same specifications for the Quantitative TPP Concept Testing (Stage 1) and the Claims Conjoint / Preference Share Simulation (Stage 2). Background and design specifications for each therapy under consideration are outlined in the MR Specifications Appendix document.</w:t>
      </w:r>
    </w:p>
    <w:p>
      <w:pPr>
        <w:pStyle w:val="Heading1"/>
      </w:pPr>
      <w:r>
        <w:rPr>
          <w:rFonts w:ascii="Inter" w:hAnsi="Inter"/>
          <w:b/>
          <w:color w:val="DA365C"/>
          <w:sz w:val="32"/>
        </w:rPr>
        <w:t>Target Audience &amp; Sample</w:t>
      </w:r>
    </w:p>
    <w:p>
      <w:r>
        <w:rPr>
          <w:rFonts w:ascii="Inter" w:hAnsi="Inter"/>
          <w:b/>
          <w:color w:val="1F2937"/>
          <w:sz w:val="22"/>
        </w:rPr>
        <w:t>PRIMARY AUDIENCE: Healthcare Professionals (HCPs)</w:t>
      </w:r>
    </w:p>
    <w:p>
      <w:r>
        <w:rPr>
          <w:rFonts w:ascii="Inter" w:hAnsi="Inter"/>
          <w:b w:val="0"/>
          <w:color w:val="1F2937"/>
          <w:sz w:val="22"/>
        </w:rPr>
        <w:t>Target HCP Segments:</w:t>
      </w:r>
    </w:p>
    <w:p>
      <w:r>
        <w:rPr>
          <w:rFonts w:ascii="Inter" w:hAnsi="Inter"/>
          <w:b w:val="0"/>
          <w:color w:val="1F2937"/>
          <w:sz w:val="22"/>
        </w:rPr>
        <w:t>• Primary care physicians</w:t>
      </w:r>
    </w:p>
    <w:p>
      <w:r>
        <w:rPr>
          <w:rFonts w:ascii="Inter" w:hAnsi="Inter"/>
          <w:b w:val="0"/>
          <w:color w:val="1F2937"/>
          <w:sz w:val="22"/>
        </w:rPr>
        <w:t>• Specialists by therapeutic area</w:t>
      </w:r>
    </w:p>
    <w:p>
      <w:r>
        <w:rPr>
          <w:rFonts w:ascii="Inter" w:hAnsi="Inter"/>
          <w:b w:val="0"/>
          <w:color w:val="1F2937"/>
          <w:sz w:val="22"/>
        </w:rPr>
        <w:t>• Hospital-based practitioners</w:t>
      </w:r>
    </w:p>
    <w:p>
      <w:r>
        <w:rPr>
          <w:rFonts w:ascii="Inter" w:hAnsi="Inter"/>
          <w:b w:val="0"/>
          <w:color w:val="1F2937"/>
          <w:sz w:val="22"/>
        </w:rPr>
        <w:t>• Academic medical center physicians</w:t>
      </w:r>
    </w:p>
    <w:p>
      <w:r>
        <w:rPr>
          <w:rFonts w:ascii="Inter" w:hAnsi="Inter"/>
          <w:b w:val="0"/>
          <w:color w:val="1F2937"/>
          <w:sz w:val="22"/>
        </w:rPr>
        <w:t>Sample Requirements:</w:t>
      </w:r>
    </w:p>
    <w:p>
      <w:r>
        <w:rPr>
          <w:rFonts w:ascii="Inter" w:hAnsi="Inter"/>
          <w:b w:val="0"/>
          <w:color w:val="1F2937"/>
          <w:sz w:val="22"/>
        </w:rPr>
        <w:t>• Statistically robust sample sizes for reliable preference share modeling</w:t>
      </w:r>
    </w:p>
    <w:p>
      <w:r>
        <w:rPr>
          <w:rFonts w:ascii="Inter" w:hAnsi="Inter"/>
          <w:b w:val="0"/>
          <w:color w:val="1F2937"/>
          <w:sz w:val="22"/>
        </w:rPr>
        <w:t>• Representative of real-world prescribing populations</w:t>
      </w:r>
    </w:p>
    <w:p>
      <w:r>
        <w:rPr>
          <w:rFonts w:ascii="Inter" w:hAnsi="Inter"/>
          <w:b w:val="0"/>
          <w:color w:val="1F2937"/>
          <w:sz w:val="22"/>
        </w:rPr>
        <w:t>• Adequate representation across key physician segments</w:t>
      </w:r>
    </w:p>
    <w:p>
      <w:r>
        <w:rPr>
          <w:rFonts w:ascii="Inter" w:hAnsi="Inter"/>
          <w:b w:val="0"/>
          <w:color w:val="1F2937"/>
          <w:sz w:val="22"/>
        </w:rPr>
        <w:t>• Geographic distribution aligned with market priorities</w:t>
      </w:r>
    </w:p>
    <w:p>
      <w:r>
        <w:rPr>
          <w:rFonts w:ascii="Inter" w:hAnsi="Inter"/>
          <w:b/>
          <w:color w:val="1F2937"/>
          <w:sz w:val="22"/>
        </w:rPr>
        <w:t>SECONDARY CONSIDERATIONS:</w:t>
      </w:r>
    </w:p>
    <w:p>
      <w:r>
        <w:rPr>
          <w:rFonts w:ascii="Inter" w:hAnsi="Inter"/>
          <w:b w:val="0"/>
          <w:color w:val="1F2937"/>
          <w:sz w:val="22"/>
        </w:rPr>
        <w:t>While this RFP focuses primarily on HCP research, capability to conduct parallel patient/consumer research should be noted in proposals for potential future expansion.</w:t>
      </w:r>
    </w:p>
    <w:p>
      <w:pPr>
        <w:pStyle w:val="Heading1"/>
      </w:pPr>
      <w:r>
        <w:rPr>
          <w:rFonts w:ascii="Inter" w:hAnsi="Inter"/>
          <w:b/>
          <w:color w:val="DA365C"/>
          <w:sz w:val="32"/>
        </w:rPr>
        <w:t>Timeline &amp; Key Dates</w:t>
      </w:r>
    </w:p>
    <w:tbl>
      <w:tblPr>
        <w:tblStyle w:val="TableGrid"/>
        <w:tblW w:type="auto" w:w="0"/>
        <w:tblLook w:firstColumn="1" w:firstRow="1" w:lastColumn="0" w:lastRow="0" w:noHBand="0" w:noVBand="1" w:val="04A0"/>
      </w:tblPr>
      <w:tblGrid>
        <w:gridCol w:w="4320"/>
        <w:gridCol w:w="4320"/>
      </w:tblGrid>
      <w:tr>
        <w:tc>
          <w:tcPr>
            <w:tcW w:type="dxa" w:w="4320"/>
          </w:tcPr>
          <w:p>
            <w:r>
              <w:rPr>
                <w:rFonts w:ascii="Inter" w:hAnsi="Inter"/>
                <w:b/>
                <w:color w:val="DA365C"/>
                <w:sz w:val="22"/>
              </w:rPr>
              <w:t>RFP Issue Date</w:t>
            </w:r>
          </w:p>
        </w:tc>
        <w:tc>
          <w:tcPr>
            <w:tcW w:type="dxa" w:w="4320"/>
          </w:tcPr>
          <w:p>
            <w:r>
              <w:rPr>
                <w:rFonts w:ascii="Inter" w:hAnsi="Inter"/>
                <w:b/>
                <w:color w:val="DA365C"/>
                <w:sz w:val="22"/>
              </w:rPr>
              <w:t>March 12, 2026</w:t>
            </w:r>
          </w:p>
        </w:tc>
      </w:tr>
      <w:tr>
        <w:tc>
          <w:tcPr>
            <w:tcW w:type="dxa" w:w="4320"/>
          </w:tcPr>
          <w:p>
            <w:r>
              <w:t>Questions Deadline</w:t>
            </w:r>
          </w:p>
        </w:tc>
        <w:tc>
          <w:tcPr>
            <w:tcW w:type="dxa" w:w="4320"/>
          </w:tcPr>
          <w:p>
            <w:r>
              <w:t>August 23, 2026, 11:59 PM ET</w:t>
            </w:r>
          </w:p>
        </w:tc>
      </w:tr>
      <w:tr>
        <w:tc>
          <w:tcPr>
            <w:tcW w:type="dxa" w:w="4320"/>
          </w:tcPr>
          <w:p>
            <w:r>
              <w:t>Proposal Submission Deadline</w:t>
            </w:r>
          </w:p>
        </w:tc>
        <w:tc>
          <w:tcPr>
            <w:tcW w:type="dxa" w:w="4320"/>
          </w:tcPr>
          <w:p>
            <w:r>
              <w:t>September 9, 2026, 5:00 PM ET</w:t>
            </w:r>
          </w:p>
        </w:tc>
      </w:tr>
      <w:tr>
        <w:tc>
          <w:tcPr>
            <w:tcW w:type="dxa" w:w="4320"/>
          </w:tcPr>
          <w:p>
            <w:r>
              <w:t>Initial Evaluation Complete</w:t>
            </w:r>
          </w:p>
        </w:tc>
        <w:tc>
          <w:tcPr>
            <w:tcW w:type="dxa" w:w="4320"/>
          </w:tcPr>
          <w:p>
            <w:r>
              <w:t>September 20, 2026</w:t>
            </w:r>
          </w:p>
        </w:tc>
      </w:tr>
      <w:tr>
        <w:tc>
          <w:tcPr>
            <w:tcW w:type="dxa" w:w="4320"/>
          </w:tcPr>
          <w:p>
            <w:r>
              <w:t>Shortlist Notification</w:t>
            </w:r>
          </w:p>
        </w:tc>
        <w:tc>
          <w:tcPr>
            <w:tcW w:type="dxa" w:w="4320"/>
          </w:tcPr>
          <w:p>
            <w:r>
              <w:t>September 25, 2026</w:t>
            </w:r>
          </w:p>
        </w:tc>
      </w:tr>
      <w:tr>
        <w:tc>
          <w:tcPr>
            <w:tcW w:type="dxa" w:w="4320"/>
          </w:tcPr>
          <w:p>
            <w:r>
              <w:t>Presentation Phase</w:t>
            </w:r>
          </w:p>
        </w:tc>
        <w:tc>
          <w:tcPr>
            <w:tcW w:type="dxa" w:w="4320"/>
          </w:tcPr>
          <w:p>
            <w:r>
              <w:t>October 2-6, 2026</w:t>
            </w:r>
          </w:p>
        </w:tc>
      </w:tr>
      <w:tr>
        <w:tc>
          <w:tcPr>
            <w:tcW w:type="dxa" w:w="4320"/>
          </w:tcPr>
          <w:p>
            <w:r>
              <w:t>Final Selection</w:t>
            </w:r>
          </w:p>
        </w:tc>
        <w:tc>
          <w:tcPr>
            <w:tcW w:type="dxa" w:w="4320"/>
          </w:tcPr>
          <w:p>
            <w:r>
              <w:t>October 15, 2026</w:t>
            </w:r>
          </w:p>
        </w:tc>
      </w:tr>
      <w:tr>
        <w:tc>
          <w:tcPr>
            <w:tcW w:type="dxa" w:w="4320"/>
          </w:tcPr>
          <w:p>
            <w:r>
              <w:t>Contract Execution</w:t>
            </w:r>
          </w:p>
        </w:tc>
        <w:tc>
          <w:tcPr>
            <w:tcW w:type="dxa" w:w="4320"/>
          </w:tcPr>
          <w:p>
            <w:r>
              <w:t>November 1, 2026</w:t>
            </w:r>
          </w:p>
        </w:tc>
      </w:tr>
    </w:tbl>
    <w:p>
      <w:pPr>
        <w:pStyle w:val="Heading1"/>
      </w:pPr>
      <w:r>
        <w:rPr>
          <w:rFonts w:ascii="Inter" w:hAnsi="Inter"/>
          <w:b/>
          <w:color w:val="DA365C"/>
          <w:sz w:val="32"/>
        </w:rPr>
        <w:t>Deliverables</w:t>
      </w:r>
    </w:p>
    <w:p>
      <w:r>
        <w:rPr>
          <w:rFonts w:ascii="Inter" w:hAnsi="Inter"/>
          <w:b/>
          <w:color w:val="1F2937"/>
          <w:sz w:val="22"/>
        </w:rPr>
        <w:t>STAGE 1 DELIVERABLES</w:t>
      </w:r>
    </w:p>
    <w:p>
      <w:r>
        <w:rPr>
          <w:rFonts w:ascii="Inter" w:hAnsi="Inter"/>
          <w:b w:val="0"/>
          <w:color w:val="1F2937"/>
          <w:sz w:val="22"/>
        </w:rPr>
        <w:t>• Comprehensive methodology documentation</w:t>
      </w:r>
    </w:p>
    <w:p>
      <w:r>
        <w:rPr>
          <w:rFonts w:ascii="Inter" w:hAnsi="Inter"/>
          <w:b w:val="0"/>
          <w:color w:val="1F2937"/>
          <w:sz w:val="22"/>
        </w:rPr>
        <w:t>• Fielding and data collection reports</w:t>
      </w:r>
    </w:p>
    <w:p>
      <w:r>
        <w:rPr>
          <w:rFonts w:ascii="Inter" w:hAnsi="Inter"/>
          <w:b w:val="0"/>
          <w:color w:val="1F2937"/>
          <w:sz w:val="22"/>
        </w:rPr>
        <w:t>• Statistical analysis with normative benchmarking</w:t>
      </w:r>
    </w:p>
    <w:p>
      <w:r>
        <w:rPr>
          <w:rFonts w:ascii="Inter" w:hAnsi="Inter"/>
          <w:b w:val="0"/>
          <w:color w:val="1F2937"/>
          <w:sz w:val="22"/>
        </w:rPr>
        <w:t>• Topline results presentation</w:t>
      </w:r>
    </w:p>
    <w:p>
      <w:r>
        <w:rPr>
          <w:rFonts w:ascii="Inter" w:hAnsi="Inter"/>
          <w:b w:val="0"/>
          <w:color w:val="1F2937"/>
          <w:sz w:val="22"/>
        </w:rPr>
        <w:t>• Final comprehensive presentation with executive summary</w:t>
      </w:r>
    </w:p>
    <w:p>
      <w:r>
        <w:rPr>
          <w:rFonts w:ascii="Inter" w:hAnsi="Inter"/>
          <w:b w:val="0"/>
          <w:color w:val="1F2937"/>
          <w:sz w:val="22"/>
        </w:rPr>
        <w:t>• TPP optimization recommendations</w:t>
      </w:r>
    </w:p>
    <w:p>
      <w:r>
        <w:rPr>
          <w:rFonts w:ascii="Inter" w:hAnsi="Inter"/>
          <w:b w:val="0"/>
          <w:color w:val="1F2937"/>
          <w:sz w:val="22"/>
        </w:rPr>
        <w:t>• Physician segmentation profiles</w:t>
      </w:r>
    </w:p>
    <w:p>
      <w:r>
        <w:rPr>
          <w:rFonts w:ascii="Inter" w:hAnsi="Inter"/>
          <w:b w:val="0"/>
          <w:color w:val="1F2937"/>
          <w:sz w:val="22"/>
        </w:rPr>
        <w:t>• Patient type analysis</w:t>
      </w:r>
    </w:p>
    <w:p>
      <w:r>
        <w:rPr>
          <w:rFonts w:ascii="Inter" w:hAnsi="Inter"/>
          <w:b w:val="0"/>
          <w:color w:val="1F2937"/>
          <w:sz w:val="22"/>
        </w:rPr>
        <w:t>• Competitive share impact analysis</w:t>
      </w:r>
    </w:p>
    <w:p>
      <w:r>
        <w:rPr>
          <w:rFonts w:ascii="Inter" w:hAnsi="Inter"/>
          <w:b/>
          <w:color w:val="1F2937"/>
          <w:sz w:val="22"/>
        </w:rPr>
        <w:t>STAGE 2 DELIVERABLES</w:t>
      </w:r>
    </w:p>
    <w:p>
      <w:r>
        <w:rPr>
          <w:rFonts w:ascii="Inter" w:hAnsi="Inter"/>
          <w:b w:val="0"/>
          <w:color w:val="1F2937"/>
          <w:sz w:val="22"/>
        </w:rPr>
        <w:t>• Conjoint study design and methodology</w:t>
      </w:r>
    </w:p>
    <w:p>
      <w:r>
        <w:rPr>
          <w:rFonts w:ascii="Inter" w:hAnsi="Inter"/>
          <w:b w:val="0"/>
          <w:color w:val="1F2937"/>
          <w:sz w:val="22"/>
        </w:rPr>
        <w:t>• Choice modeling technical documentation</w:t>
      </w:r>
    </w:p>
    <w:p>
      <w:r>
        <w:rPr>
          <w:rFonts w:ascii="Inter" w:hAnsi="Inter"/>
          <w:b w:val="0"/>
          <w:color w:val="1F2937"/>
          <w:sz w:val="22"/>
        </w:rPr>
        <w:t>• Preference share simulation model (interactive)</w:t>
      </w:r>
    </w:p>
    <w:p>
      <w:r>
        <w:rPr>
          <w:rFonts w:ascii="Inter" w:hAnsi="Inter"/>
          <w:b w:val="0"/>
          <w:color w:val="1F2937"/>
          <w:sz w:val="22"/>
        </w:rPr>
        <w:t>• Launch and peak year share projections</w:t>
      </w:r>
    </w:p>
    <w:p>
      <w:r>
        <w:rPr>
          <w:rFonts w:ascii="Inter" w:hAnsi="Inter"/>
          <w:b w:val="0"/>
          <w:color w:val="1F2937"/>
          <w:sz w:val="22"/>
        </w:rPr>
        <w:t>• Sensitivity analysis reports</w:t>
      </w:r>
    </w:p>
    <w:p>
      <w:r>
        <w:rPr>
          <w:rFonts w:ascii="Inter" w:hAnsi="Inter"/>
          <w:b w:val="0"/>
          <w:color w:val="1F2937"/>
          <w:sz w:val="22"/>
        </w:rPr>
        <w:t>• Competitive scenario modeling</w:t>
      </w:r>
    </w:p>
    <w:p>
      <w:r>
        <w:rPr>
          <w:rFonts w:ascii="Inter" w:hAnsi="Inter"/>
          <w:b w:val="0"/>
          <w:color w:val="1F2937"/>
          <w:sz w:val="22"/>
        </w:rPr>
        <w:t>• Prescriber likelihood profiles</w:t>
      </w:r>
    </w:p>
    <w:p>
      <w:r>
        <w:rPr>
          <w:rFonts w:ascii="Inter" w:hAnsi="Inter"/>
          <w:b w:val="0"/>
          <w:color w:val="1F2937"/>
          <w:sz w:val="22"/>
        </w:rPr>
        <w:t>• Patient source attribution analysis</w:t>
      </w:r>
    </w:p>
    <w:p>
      <w:r>
        <w:rPr>
          <w:rFonts w:ascii="Inter" w:hAnsi="Inter"/>
          <w:b w:val="0"/>
          <w:color w:val="1F2937"/>
          <w:sz w:val="22"/>
        </w:rPr>
        <w:t>• Price and market access impact modeling</w:t>
      </w:r>
    </w:p>
    <w:p>
      <w:r>
        <w:rPr>
          <w:rFonts w:ascii="Inter" w:hAnsi="Inter"/>
          <w:b w:val="0"/>
          <w:color w:val="1F2937"/>
          <w:sz w:val="22"/>
        </w:rPr>
        <w:t>• Implementation workshop materials</w:t>
      </w:r>
    </w:p>
    <w:p>
      <w:r>
        <w:rPr>
          <w:rFonts w:ascii="Inter" w:hAnsi="Inter"/>
          <w:b/>
          <w:color w:val="1F2937"/>
          <w:sz w:val="22"/>
        </w:rPr>
        <w:t>STANDARD DELIVERABLE REQUIREMENTS</w:t>
      </w:r>
    </w:p>
    <w:p>
      <w:r>
        <w:rPr>
          <w:rFonts w:ascii="Inter" w:hAnsi="Inter"/>
          <w:b w:val="0"/>
          <w:color w:val="1F2937"/>
          <w:sz w:val="22"/>
        </w:rPr>
        <w:t>• All deliverables must demonstrate clear linkage to key marketing decisions</w:t>
      </w:r>
    </w:p>
    <w:p>
      <w:r>
        <w:rPr>
          <w:rFonts w:ascii="Inter" w:hAnsi="Inter"/>
          <w:b w:val="0"/>
          <w:color w:val="1F2937"/>
          <w:sz w:val="22"/>
        </w:rPr>
        <w:t>• Results must be actionable for business owners</w:t>
      </w:r>
    </w:p>
    <w:p>
      <w:r>
        <w:rPr>
          <w:rFonts w:ascii="Inter" w:hAnsi="Inter"/>
          <w:b w:val="0"/>
          <w:color w:val="1F2937"/>
          <w:sz w:val="22"/>
        </w:rPr>
        <w:t>• Validated methodologies with normative benchmarks preferred</w:t>
      </w:r>
    </w:p>
    <w:p>
      <w:r>
        <w:rPr>
          <w:rFonts w:ascii="Inter" w:hAnsi="Inter"/>
          <w:b w:val="0"/>
          <w:color w:val="1F2937"/>
          <w:sz w:val="22"/>
        </w:rPr>
        <w:t>• Executive summary format required for all final presentations</w:t>
      </w:r>
    </w:p>
    <w:p>
      <w:r>
        <w:rPr>
          <w:rFonts w:ascii="Inter" w:hAnsi="Inter"/>
          <w:b w:val="0"/>
          <w:color w:val="1F2937"/>
          <w:sz w:val="22"/>
        </w:rPr>
        <w:t>• Standard frameworks with flexibility for custom analysis</w:t>
      </w:r>
    </w:p>
    <w:p>
      <w:pPr>
        <w:pStyle w:val="Heading1"/>
      </w:pPr>
      <w:r>
        <w:rPr>
          <w:rFonts w:ascii="Inter" w:hAnsi="Inter"/>
          <w:b/>
          <w:color w:val="DA365C"/>
          <w:sz w:val="32"/>
        </w:rPr>
        <w:t>Budget &amp; Cost Requirements</w:t>
      </w:r>
    </w:p>
    <w:p>
      <w:r>
        <w:rPr>
          <w:rFonts w:ascii="Inter" w:hAnsi="Inter"/>
          <w:b/>
          <w:color w:val="1F2937"/>
          <w:sz w:val="22"/>
        </w:rPr>
        <w:t>FINANCIAL SUBMISSION REQUIREMENTS</w:t>
      </w:r>
    </w:p>
    <w:p>
      <w:r>
        <w:rPr>
          <w:rFonts w:ascii="Inter" w:hAnsi="Inter"/>
          <w:b w:val="0"/>
          <w:color w:val="1F2937"/>
          <w:sz w:val="22"/>
        </w:rPr>
        <w:t>Bidders must complete all components of the PMR Study Costs bid template:</w:t>
      </w:r>
    </w:p>
    <w:p>
      <w:r>
        <w:t>Cost Template Structure:</w:t>
        <w:br/>
        <w:t>One cost template must be provided for each Research Stage AND each Therapy Area:</w:t>
        <w:br/>
        <w:t>- Stage 1 (TPP Concept Testing) x CDiff = 1 template</w:t>
        <w:br/>
        <w:t>- Stage 1 (TPP Concept Testing) x Diabetes SGLT = 1 template</w:t>
        <w:br/>
        <w:t>- Stage 1 (TPP Concept Testing) x Immunology Dupi Asthma = 1 template</w:t>
        <w:br/>
        <w:t>- Stage 2 (Claims Conjoint) x CDiff = 1 template</w:t>
        <w:br/>
        <w:t>- Stage 2 (Claims Conjoint) x Diabetes SGLT = 1 template</w:t>
        <w:br/>
        <w:t>- Stage 2 (Claims Conjoint) x Immunology Dupi Asthma = 1 template</w:t>
        <w:br/>
        <w:t>Total: 6 cost templates required</w:t>
        <w:br/>
        <w:t>HCP and Patient/Consumer costs should be in separate Tabs within each sheet.</w:t>
        <w:br/>
        <w:t>These cost breakdowns will form the basis of a standard rate card for your professional services and standard cost ranges for outsourced costs (fieldwork, incentive fees, programming, etc.) as part of Master Services Agreement (MSA) negotiation.</w:t>
      </w:r>
    </w:p>
    <w:p>
      <w:r>
        <w:rPr>
          <w:rFonts w:ascii="Inter" w:hAnsi="Inter"/>
          <w:b w:val="0"/>
          <w:color w:val="1F2937"/>
          <w:sz w:val="22"/>
        </w:rPr>
        <w:t>• One cost template per Research Stage per Therapy Area</w:t>
      </w:r>
    </w:p>
    <w:p>
      <w:r>
        <w:rPr>
          <w:rFonts w:ascii="Inter" w:hAnsi="Inter"/>
          <w:b w:val="0"/>
          <w:color w:val="1F2937"/>
          <w:sz w:val="22"/>
        </w:rPr>
        <w:t>• Total of 6 cost templates required (2 stages × 3 therapy areas)</w:t>
      </w:r>
    </w:p>
    <w:p>
      <w:r>
        <w:rPr>
          <w:rFonts w:ascii="Inter" w:hAnsi="Inter"/>
          <w:b w:val="0"/>
          <w:color w:val="1F2937"/>
          <w:sz w:val="22"/>
        </w:rPr>
        <w:t>• Separate line items for HCP and Patient/Consumer costs</w:t>
      </w:r>
    </w:p>
    <w:p>
      <w:r>
        <w:rPr>
          <w:rFonts w:ascii="Inter" w:hAnsi="Inter"/>
          <w:b w:val="0"/>
          <w:color w:val="1F2937"/>
          <w:sz w:val="22"/>
        </w:rPr>
        <w:t>• Total cost including all pass-through expenses</w:t>
      </w:r>
    </w:p>
    <w:p>
      <w:r>
        <w:rPr>
          <w:rFonts w:ascii="Inter" w:hAnsi="Inter"/>
          <w:b w:val="0"/>
          <w:color w:val="1F2937"/>
          <w:sz w:val="22"/>
        </w:rPr>
        <w:t>• Rate card and discount offers for Master Service Agreement (MSA) negotiation</w:t>
      </w:r>
    </w:p>
    <w:p>
      <w:r>
        <w:rPr>
          <w:rFonts w:ascii="Inter" w:hAnsi="Inter"/>
          <w:b w:val="0"/>
          <w:color w:val="1F2937"/>
          <w:sz w:val="22"/>
        </w:rPr>
        <w:t>Cost Breakdown Requirements:</w:t>
      </w:r>
    </w:p>
    <w:p>
      <w:r>
        <w:rPr>
          <w:rFonts w:ascii="Inter" w:hAnsi="Inter"/>
          <w:b w:val="0"/>
          <w:color w:val="1F2937"/>
          <w:sz w:val="22"/>
        </w:rPr>
        <w:t>• Personnel costs by role and level</w:t>
      </w:r>
    </w:p>
    <w:p>
      <w:r>
        <w:rPr>
          <w:rFonts w:ascii="Inter" w:hAnsi="Inter"/>
          <w:b w:val="0"/>
          <w:color w:val="1F2937"/>
          <w:sz w:val="22"/>
        </w:rPr>
        <w:t>• Direct project expenses</w:t>
      </w:r>
    </w:p>
    <w:p>
      <w:r>
        <w:rPr>
          <w:rFonts w:ascii="Inter" w:hAnsi="Inter"/>
          <w:b w:val="0"/>
          <w:color w:val="1F2937"/>
          <w:sz w:val="22"/>
        </w:rPr>
        <w:t>• Technology and platform costs</w:t>
      </w:r>
    </w:p>
    <w:p>
      <w:r>
        <w:rPr>
          <w:rFonts w:ascii="Inter" w:hAnsi="Inter"/>
          <w:b w:val="0"/>
          <w:color w:val="1F2937"/>
          <w:sz w:val="22"/>
        </w:rPr>
        <w:t>• Incentive payments</w:t>
      </w:r>
    </w:p>
    <w:p>
      <w:r>
        <w:rPr>
          <w:rFonts w:ascii="Inter" w:hAnsi="Inter"/>
          <w:b w:val="0"/>
          <w:color w:val="1F2937"/>
          <w:sz w:val="22"/>
        </w:rPr>
        <w:t>• Third-party costs (translation, programming, etc.)</w:t>
      </w:r>
    </w:p>
    <w:p>
      <w:r>
        <w:rPr>
          <w:rFonts w:ascii="Inter" w:hAnsi="Inter"/>
          <w:b w:val="0"/>
          <w:color w:val="1F2937"/>
          <w:sz w:val="22"/>
        </w:rPr>
        <w:t>• Contingency allowances</w:t>
      </w:r>
    </w:p>
    <w:p>
      <w:r>
        <w:rPr>
          <w:rFonts w:ascii="Inter" w:hAnsi="Inter"/>
          <w:b w:val="0"/>
          <w:color w:val="1F2937"/>
          <w:sz w:val="22"/>
        </w:rPr>
        <w:t>Payment Terms:</w:t>
      </w:r>
    </w:p>
    <w:p>
      <w:r>
        <w:rPr>
          <w:rFonts w:ascii="Inter" w:hAnsi="Inter"/>
          <w:b w:val="0"/>
          <w:color w:val="1F2937"/>
          <w:sz w:val="22"/>
        </w:rPr>
        <w:t>Payment terms are not specified in this RFP but will be negotiated as part of the MSA process. Standard [CLIENT_ORG] payment terms apply unless otherwise negotiated.</w:t>
      </w:r>
    </w:p>
    <w:p>
      <w:pPr>
        <w:pStyle w:val="Heading1"/>
      </w:pPr>
      <w:r>
        <w:rPr>
          <w:rFonts w:ascii="Inter" w:hAnsi="Inter"/>
          <w:b/>
          <w:color w:val="DA365C"/>
          <w:sz w:val="32"/>
        </w:rPr>
        <w:t>Proposal Submission Requirements</w:t>
      </w:r>
    </w:p>
    <w:p>
      <w:r>
        <w:rPr>
          <w:rFonts w:ascii="Inter" w:hAnsi="Inter"/>
          <w:b/>
          <w:color w:val="1F2937"/>
          <w:sz w:val="22"/>
        </w:rPr>
        <w:t>REQUIRED PROPOSAL COMPONENTS</w:t>
      </w:r>
    </w:p>
    <w:p>
      <w:r>
        <w:rPr>
          <w:rFonts w:ascii="Inter" w:hAnsi="Inter"/>
          <w:b w:val="0"/>
          <w:color w:val="1F2937"/>
          <w:sz w:val="22"/>
        </w:rPr>
        <w:t>1. Business Solution Proposal (PowerPoint format)</w:t>
      </w:r>
    </w:p>
    <w:p>
      <w:r>
        <w:rPr>
          <w:rFonts w:ascii="Inter" w:hAnsi="Inter"/>
          <w:b w:val="0"/>
          <w:color w:val="1F2937"/>
          <w:sz w:val="22"/>
        </w:rPr>
        <w:t xml:space="preserve">   • Executive Summary</w:t>
      </w:r>
    </w:p>
    <w:p>
      <w:r>
        <w:rPr>
          <w:rFonts w:ascii="Inter" w:hAnsi="Inter"/>
          <w:b w:val="0"/>
          <w:color w:val="1F2937"/>
          <w:sz w:val="22"/>
        </w:rPr>
        <w:t xml:space="preserve">   • Methodology Overview</w:t>
      </w:r>
    </w:p>
    <w:p>
      <w:r>
        <w:rPr>
          <w:rFonts w:ascii="Inter" w:hAnsi="Inter"/>
          <w:b w:val="0"/>
          <w:color w:val="1F2937"/>
          <w:sz w:val="22"/>
        </w:rPr>
        <w:t xml:space="preserve">   • Detailed Analysis Plan</w:t>
      </w:r>
    </w:p>
    <w:p>
      <w:r>
        <w:rPr>
          <w:rFonts w:ascii="Inter" w:hAnsi="Inter"/>
          <w:b w:val="0"/>
          <w:color w:val="1F2937"/>
          <w:sz w:val="22"/>
        </w:rPr>
        <w:t xml:space="preserve">   • Project Timeline</w:t>
      </w:r>
    </w:p>
    <w:p>
      <w:r>
        <w:rPr>
          <w:rFonts w:ascii="Inter" w:hAnsi="Inter"/>
          <w:b w:val="0"/>
          <w:color w:val="1F2937"/>
          <w:sz w:val="22"/>
        </w:rPr>
        <w:t xml:space="preserve">   • Deliverables Description</w:t>
      </w:r>
    </w:p>
    <w:p>
      <w:r>
        <w:rPr>
          <w:rFonts w:ascii="Inter" w:hAnsi="Inter"/>
          <w:b w:val="0"/>
          <w:color w:val="1F2937"/>
          <w:sz w:val="22"/>
        </w:rPr>
        <w:t xml:space="preserve">   • Pricing Summary</w:t>
      </w:r>
    </w:p>
    <w:p>
      <w:r>
        <w:rPr>
          <w:rFonts w:ascii="Inter" w:hAnsi="Inter"/>
          <w:b w:val="0"/>
          <w:color w:val="1F2937"/>
          <w:sz w:val="22"/>
        </w:rPr>
        <w:t xml:space="preserve">   • Key Personnel Profiles</w:t>
      </w:r>
    </w:p>
    <w:p>
      <w:r>
        <w:rPr>
          <w:rFonts w:ascii="Inter" w:hAnsi="Inter"/>
          <w:b w:val="0"/>
          <w:color w:val="1F2937"/>
          <w:sz w:val="22"/>
        </w:rPr>
        <w:t>2. Cost Estimate using [CLIENT_ORG] cost breakdown template</w:t>
      </w:r>
    </w:p>
    <w:p>
      <w:r>
        <w:rPr>
          <w:rFonts w:ascii="Inter" w:hAnsi="Inter"/>
          <w:b w:val="0"/>
          <w:color w:val="1F2937"/>
          <w:sz w:val="22"/>
        </w:rPr>
        <w:t xml:space="preserve">   • Must use provided Excel template</w:t>
      </w:r>
    </w:p>
    <w:p>
      <w:r>
        <w:rPr>
          <w:rFonts w:ascii="Inter" w:hAnsi="Inter"/>
          <w:b w:val="0"/>
          <w:color w:val="1F2937"/>
          <w:sz w:val="22"/>
        </w:rPr>
        <w:t xml:space="preserve">   • Complete all required fields</w:t>
      </w:r>
    </w:p>
    <w:p>
      <w:r>
        <w:rPr>
          <w:rFonts w:ascii="Inter" w:hAnsi="Inter"/>
          <w:b w:val="0"/>
          <w:color w:val="1F2937"/>
          <w:sz w:val="22"/>
        </w:rPr>
        <w:t xml:space="preserve">   • Include supporting cost documentation</w:t>
      </w:r>
    </w:p>
    <w:p>
      <w:r>
        <w:rPr>
          <w:rFonts w:ascii="Inter" w:hAnsi="Inter"/>
          <w:b w:val="0"/>
          <w:color w:val="1F2937"/>
          <w:sz w:val="22"/>
        </w:rPr>
        <w:t>3. Response to Pharmacovigilance (PV) obligations</w:t>
      </w:r>
    </w:p>
    <w:p>
      <w:r>
        <w:rPr>
          <w:rFonts w:ascii="Inter" w:hAnsi="Inter"/>
          <w:b w:val="0"/>
          <w:color w:val="1F2937"/>
          <w:sz w:val="22"/>
        </w:rPr>
        <w:t xml:space="preserve">   • Demonstrate understanding of PV requirements</w:t>
      </w:r>
    </w:p>
    <w:p>
      <w:r>
        <w:rPr>
          <w:rFonts w:ascii="Inter" w:hAnsi="Inter"/>
          <w:b w:val="0"/>
          <w:color w:val="1F2937"/>
          <w:sz w:val="22"/>
        </w:rPr>
        <w:t xml:space="preserve">   • Detail compliance procedures</w:t>
      </w:r>
    </w:p>
    <w:p>
      <w:r>
        <w:rPr>
          <w:rFonts w:ascii="Inter" w:hAnsi="Inter"/>
          <w:b w:val="0"/>
          <w:color w:val="1F2937"/>
          <w:sz w:val="22"/>
        </w:rPr>
        <w:t xml:space="preserve">   • Identify responsible personnel</w:t>
      </w:r>
    </w:p>
    <w:p>
      <w:r>
        <w:rPr>
          <w:rFonts w:ascii="Inter" w:hAnsi="Inter"/>
          <w:b w:val="0"/>
          <w:color w:val="1F2937"/>
          <w:sz w:val="22"/>
        </w:rPr>
        <w:t>4. Response to Corporate Social Responsibility (CSR) questionnaire</w:t>
      </w:r>
    </w:p>
    <w:p>
      <w:r>
        <w:rPr>
          <w:rFonts w:ascii="Inter" w:hAnsi="Inter"/>
          <w:b w:val="0"/>
          <w:color w:val="1F2937"/>
          <w:sz w:val="22"/>
        </w:rPr>
        <w:t xml:space="preserve">   • Complete all sections of provided questionnaire</w:t>
      </w:r>
    </w:p>
    <w:p>
      <w:r>
        <w:rPr>
          <w:rFonts w:ascii="Inter" w:hAnsi="Inter"/>
          <w:b w:val="0"/>
          <w:color w:val="1F2937"/>
          <w:sz w:val="22"/>
        </w:rPr>
        <w:t xml:space="preserve">   • Provide supporting documentation</w:t>
      </w:r>
    </w:p>
    <w:p>
      <w:r>
        <w:rPr>
          <w:rFonts w:ascii="Inter" w:hAnsi="Inter"/>
          <w:b w:val="0"/>
          <w:color w:val="1F2937"/>
          <w:sz w:val="22"/>
        </w:rPr>
        <w:t xml:space="preserve">   • Detail sustainability initiatives</w:t>
      </w:r>
    </w:p>
    <w:p>
      <w:r>
        <w:rPr>
          <w:rFonts w:ascii="Inter" w:hAnsi="Inter"/>
          <w:b/>
          <w:color w:val="1F2937"/>
          <w:sz w:val="22"/>
        </w:rPr>
        <w:t>SUBMISSION PROCESS</w:t>
      </w:r>
    </w:p>
    <w:p>
      <w:r>
        <w:rPr>
          <w:rFonts w:ascii="Inter" w:hAnsi="Inter"/>
          <w:b w:val="0"/>
          <w:color w:val="1F2937"/>
          <w:sz w:val="22"/>
        </w:rPr>
        <w:t>Deadline: September 9, 2026, 5:00 PM US Eastern Time</w:t>
      </w:r>
    </w:p>
    <w:p>
      <w:r>
        <w:rPr>
          <w:rFonts w:ascii="Inter" w:hAnsi="Inter"/>
          <w:b w:val="0"/>
          <w:color w:val="1F2937"/>
          <w:sz w:val="22"/>
        </w:rPr>
        <w:t>Method: Upload to E-sourcing platform AND email to Procurement</w:t>
      </w:r>
    </w:p>
    <w:p>
      <w:r>
        <w:rPr>
          <w:rFonts w:ascii="Inter" w:hAnsi="Inter"/>
          <w:b w:val="0"/>
          <w:color w:val="1F2937"/>
          <w:sz w:val="22"/>
        </w:rPr>
        <w:t>Late submissions will not be accepted under any circumstances.</w:t>
      </w:r>
    </w:p>
    <w:p>
      <w:pPr>
        <w:pStyle w:val="Heading1"/>
      </w:pPr>
      <w:r>
        <w:rPr>
          <w:rFonts w:ascii="Inter" w:hAnsi="Inter"/>
          <w:b/>
          <w:color w:val="DA365C"/>
          <w:sz w:val="32"/>
        </w:rPr>
        <w:t>Evaluation Criteria</w:t>
      </w:r>
    </w:p>
    <w:p>
      <w:r>
        <w:t>Proposals will be evaluated based on the following criteria (note: order does not reflect importance):</w:t>
        <w:br/>
        <w:br/>
        <w:t>- Bidder's expertise and track records in implementing such services</w:t>
        <w:br/>
        <w:t>- Feedback from clients with experience in similar projects</w:t>
        <w:br/>
        <w:t>- Flexibility of the bidders</w:t>
        <w:br/>
        <w:t>- Overall understanding of context and requirements</w:t>
        <w:br/>
        <w:t>- Quality, clarity and compliance to required format</w:t>
        <w:br/>
        <w:t>- Relevance and accuracy of proposal</w:t>
        <w:br/>
        <w:t>- Research methods with norms/benchmarks and/or in-market validation</w:t>
        <w:br/>
        <w:t>- Innovative, yet disciplined and rigorous methods</w:t>
        <w:br/>
        <w:t>- Quality of proposed Service Levels</w:t>
        <w:br/>
        <w:t>- Bidder's general qualifications (geographical presence, size, stability)</w:t>
        <w:br/>
        <w:t>- Financial conditions: total cost (transition and recurring), variability, risk of contract amendment, transparency of pricing/rate card, savings commitment, cash generation</w:t>
        <w:br/>
        <w:t>- Acceptance of contractual template terms</w:t>
        <w:br/>
        <w:t>- Pharmacovigilance compliance (ability to identify and report AEs within 24 hours)</w:t>
        <w:br/>
        <w:br/>
        <w:t>[CLIENT_ORG] will pay fees that are fair market value for the product/services provided, as determined by [CLIENT_ORG] in its sole discretion, without regard to any other business that may exist.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Inter" w:hAnsi="Inter"/>
                <w:b/>
                <w:color w:val="DA365C"/>
                <w:sz w:val="22"/>
              </w:rPr>
              <w:t>Evaluation Criterion</w:t>
            </w:r>
          </w:p>
        </w:tc>
        <w:tc>
          <w:tcPr>
            <w:tcW w:type="dxa" w:w="2880"/>
          </w:tcPr>
          <w:p>
            <w:r>
              <w:rPr>
                <w:rFonts w:ascii="Inter" w:hAnsi="Inter"/>
                <w:b/>
                <w:color w:val="DA365C"/>
                <w:sz w:val="22"/>
              </w:rPr>
              <w:t>Weight</w:t>
            </w:r>
          </w:p>
        </w:tc>
        <w:tc>
          <w:tcPr>
            <w:tcW w:type="dxa" w:w="2880"/>
          </w:tcPr>
          <w:p>
            <w:r>
              <w:rPr>
                <w:rFonts w:ascii="Inter" w:hAnsi="Inter"/>
                <w:b/>
                <w:color w:val="DA365C"/>
                <w:sz w:val="22"/>
              </w:rPr>
              <w:t>Key Assessment Areas</w:t>
            </w:r>
          </w:p>
        </w:tc>
      </w:tr>
      <w:tr>
        <w:tc>
          <w:tcPr>
            <w:tcW w:type="dxa" w:w="2880"/>
          </w:tcPr>
          <w:p>
            <w:r>
              <w:t>Methodology Quality &amp; Innovation</w:t>
            </w:r>
          </w:p>
        </w:tc>
        <w:tc>
          <w:tcPr>
            <w:tcW w:type="dxa" w:w="2880"/>
          </w:tcPr>
          <w:p>
            <w:r>
              <w:t>25%</w:t>
            </w:r>
          </w:p>
        </w:tc>
        <w:tc>
          <w:tcPr>
            <w:tcW w:type="dxa" w:w="2880"/>
          </w:tcPr>
          <w:p>
            <w:r>
              <w:t>Scientific rigor, validation, predictive accuracy</w:t>
            </w:r>
          </w:p>
        </w:tc>
      </w:tr>
      <w:tr>
        <w:tc>
          <w:tcPr>
            <w:tcW w:type="dxa" w:w="2880"/>
          </w:tcPr>
          <w:p>
            <w:r>
              <w:t>Team Qualifications</w:t>
            </w:r>
          </w:p>
        </w:tc>
        <w:tc>
          <w:tcPr>
            <w:tcW w:type="dxa" w:w="2880"/>
          </w:tcPr>
          <w:p>
            <w:r>
              <w:t>20%</w:t>
            </w:r>
          </w:p>
        </w:tc>
        <w:tc>
          <w:tcPr>
            <w:tcW w:type="dxa" w:w="2880"/>
          </w:tcPr>
          <w:p>
            <w:r>
              <w:t>Experience, expertise, track record</w:t>
            </w:r>
          </w:p>
        </w:tc>
      </w:tr>
      <w:tr>
        <w:tc>
          <w:tcPr>
            <w:tcW w:type="dxa" w:w="2880"/>
          </w:tcPr>
          <w:p>
            <w:r>
              <w:t>Cost Competitiveness</w:t>
            </w:r>
          </w:p>
        </w:tc>
        <w:tc>
          <w:tcPr>
            <w:tcW w:type="dxa" w:w="2880"/>
          </w:tcPr>
          <w:p>
            <w:r>
              <w:t>20%</w:t>
            </w:r>
          </w:p>
        </w:tc>
        <w:tc>
          <w:tcPr>
            <w:tcW w:type="dxa" w:w="2880"/>
          </w:tcPr>
          <w:p>
            <w:r>
              <w:t>Value proposition, cost efficiency</w:t>
            </w:r>
          </w:p>
        </w:tc>
      </w:tr>
      <w:tr>
        <w:tc>
          <w:tcPr>
            <w:tcW w:type="dxa" w:w="2880"/>
          </w:tcPr>
          <w:p>
            <w:r>
              <w:t>Timeline Feasibility</w:t>
            </w:r>
          </w:p>
        </w:tc>
        <w:tc>
          <w:tcPr>
            <w:tcW w:type="dxa" w:w="2880"/>
          </w:tcPr>
          <w:p>
            <w:r>
              <w:t>15%</w:t>
            </w:r>
          </w:p>
        </w:tc>
        <w:tc>
          <w:tcPr>
            <w:tcW w:type="dxa" w:w="2880"/>
          </w:tcPr>
          <w:p>
            <w:r>
              <w:t>Realistic scheduling, resource allocation</w:t>
            </w:r>
          </w:p>
        </w:tc>
      </w:tr>
      <w:tr>
        <w:tc>
          <w:tcPr>
            <w:tcW w:type="dxa" w:w="2880"/>
          </w:tcPr>
          <w:p>
            <w:r>
              <w:t>Relevant Experience</w:t>
            </w:r>
          </w:p>
        </w:tc>
        <w:tc>
          <w:tcPr>
            <w:tcW w:type="dxa" w:w="2880"/>
          </w:tcPr>
          <w:p>
            <w:r>
              <w:t>10%</w:t>
            </w:r>
          </w:p>
        </w:tc>
        <w:tc>
          <w:tcPr>
            <w:tcW w:type="dxa" w:w="2880"/>
          </w:tcPr>
          <w:p>
            <w:r>
              <w:t>Normative benchmarks, similar studies</w:t>
            </w:r>
          </w:p>
        </w:tc>
      </w:tr>
      <w:tr>
        <w:tc>
          <w:tcPr>
            <w:tcW w:type="dxa" w:w="2880"/>
          </w:tcPr>
          <w:p>
            <w:r>
              <w:t>Client Service &amp; Partnership</w:t>
            </w:r>
          </w:p>
        </w:tc>
        <w:tc>
          <w:tcPr>
            <w:tcW w:type="dxa" w:w="2880"/>
          </w:tcPr>
          <w:p>
            <w:r>
              <w:t>10%</w:t>
            </w:r>
          </w:p>
        </w:tc>
        <w:tc>
          <w:tcPr>
            <w:tcW w:type="dxa" w:w="2880"/>
          </w:tcPr>
          <w:p>
            <w:r>
              <w:t>Communication, collaboration approach</w:t>
            </w:r>
          </w:p>
        </w:tc>
      </w:tr>
    </w:tbl>
    <w:p>
      <w:r>
        <w:rPr>
          <w:rFonts w:ascii="Inter" w:hAnsi="Inter"/>
          <w:b/>
          <w:color w:val="1F2937"/>
          <w:sz w:val="22"/>
        </w:rPr>
        <w:t>SELECTION PROCESS</w:t>
      </w:r>
    </w:p>
    <w:p>
      <w:r>
        <w:t>SELECTION PROCESS</w:t>
        <w:br/>
        <w:t>[CLIENT_ORG] intends to select finalists (short list) primarily on the basis of the written proposals submitted. [CLIENT_ORG] will review the answers provided through the E-sourcing platform.</w:t>
        <w:br/>
        <w:br/>
        <w:t>Multi-round process:</w:t>
        <w:br/>
        <w:t>1. Written proposal evaluation (PRIMARY basis for shortlisting)</w:t>
        <w:br/>
        <w:t>2. Shortlist development</w:t>
        <w:br/>
        <w:t>3. Finalist presentations</w:t>
        <w:br/>
        <w:t>4. Final selection and notification</w:t>
        <w:br/>
        <w:t>5. Contract negotiation</w:t>
      </w:r>
    </w:p>
    <w:p>
      <w:r>
        <w:rPr>
          <w:rFonts w:ascii="Inter" w:hAnsi="Inter"/>
          <w:b w:val="0"/>
          <w:color w:val="1F2937"/>
          <w:sz w:val="22"/>
        </w:rPr>
        <w:t>1. Written proposal evaluation</w:t>
      </w:r>
    </w:p>
    <w:p>
      <w:r>
        <w:rPr>
          <w:rFonts w:ascii="Inter" w:hAnsi="Inter"/>
          <w:b w:val="0"/>
          <w:color w:val="1F2937"/>
          <w:sz w:val="22"/>
        </w:rPr>
        <w:t>2. Shortlist development</w:t>
      </w:r>
    </w:p>
    <w:p>
      <w:r>
        <w:rPr>
          <w:rFonts w:ascii="Inter" w:hAnsi="Inter"/>
          <w:b w:val="0"/>
          <w:color w:val="1F2937"/>
          <w:sz w:val="22"/>
        </w:rPr>
        <w:t>3. Finalist presentations</w:t>
      </w:r>
    </w:p>
    <w:p>
      <w:r>
        <w:rPr>
          <w:rFonts w:ascii="Inter" w:hAnsi="Inter"/>
          <w:b w:val="0"/>
          <w:color w:val="1F2937"/>
          <w:sz w:val="22"/>
        </w:rPr>
        <w:t>4. Final selection and notification</w:t>
      </w:r>
    </w:p>
    <w:p>
      <w:r>
        <w:rPr>
          <w:rFonts w:ascii="Inter" w:hAnsi="Inter"/>
          <w:b w:val="0"/>
          <w:color w:val="1F2937"/>
          <w:sz w:val="22"/>
        </w:rPr>
        <w:t>5. Contract negotiation</w:t>
      </w:r>
    </w:p>
    <w:p>
      <w:pPr>
        <w:pStyle w:val="Heading1"/>
      </w:pPr>
      <w:r>
        <w:rPr>
          <w:rFonts w:ascii="Inter" w:hAnsi="Inter"/>
          <w:b/>
          <w:color w:val="DA365C"/>
          <w:sz w:val="32"/>
        </w:rPr>
        <w:t>Communication Procedures</w:t>
      </w:r>
    </w:p>
    <w:p>
      <w:r>
        <w:rPr>
          <w:rFonts w:ascii="Inter" w:hAnsi="Inter"/>
          <w:b/>
          <w:color w:val="1F2937"/>
          <w:sz w:val="22"/>
        </w:rPr>
        <w:t>MANDATORY COMMUNICATION PROTOCOL</w:t>
      </w:r>
    </w:p>
    <w:p>
      <w:r>
        <w:rPr>
          <w:rFonts w:ascii="Inter" w:hAnsi="Inter"/>
          <w:b w:val="0"/>
          <w:color w:val="1F2937"/>
          <w:sz w:val="22"/>
        </w:rPr>
        <w:t>• All communications must be directed to both Procurement and Business Sponsor jointly</w:t>
      </w:r>
    </w:p>
    <w:p>
      <w:r>
        <w:rPr>
          <w:rFonts w:ascii="Inter" w:hAnsi="Inter"/>
          <w:b w:val="0"/>
          <w:color w:val="1F2937"/>
          <w:sz w:val="22"/>
        </w:rPr>
        <w:t>• No direct contact permitted with other [CLIENT_ORG] personnel including senior management</w:t>
      </w:r>
    </w:p>
    <w:p>
      <w:r>
        <w:rPr>
          <w:rFonts w:ascii="Inter" w:hAnsi="Inter"/>
          <w:b w:val="0"/>
          <w:color w:val="1F2937"/>
          <w:sz w:val="22"/>
        </w:rPr>
        <w:t>• Violation of communication protocol will result in immediate disqualification</w:t>
      </w:r>
    </w:p>
    <w:p>
      <w:r>
        <w:rPr>
          <w:rFonts w:ascii="Inter" w:hAnsi="Inter"/>
          <w:b/>
          <w:color w:val="1F2937"/>
          <w:sz w:val="22"/>
        </w:rPr>
        <w:t>QUESTION AND CLARIFICATION PROCESS</w:t>
      </w:r>
    </w:p>
    <w:p>
      <w:r>
        <w:rPr>
          <w:rFonts w:ascii="Inter" w:hAnsi="Inter"/>
          <w:b w:val="0"/>
          <w:color w:val="1F2937"/>
          <w:sz w:val="22"/>
        </w:rPr>
        <w:t>• Questions deadline: August 23, 2026, 11:59 PM ET</w:t>
      </w:r>
    </w:p>
    <w:p>
      <w:r>
        <w:rPr>
          <w:rFonts w:ascii="Inter" w:hAnsi="Inter"/>
          <w:b w:val="0"/>
          <w:color w:val="1F2937"/>
          <w:sz w:val="22"/>
        </w:rPr>
        <w:t>• All questions must be submitted in writing</w:t>
      </w:r>
    </w:p>
    <w:p>
      <w:r>
        <w:rPr>
          <w:rFonts w:ascii="Inter" w:hAnsi="Inter"/>
          <w:b w:val="0"/>
          <w:color w:val="1F2937"/>
          <w:sz w:val="22"/>
        </w:rPr>
        <w:t>• Responses will be shared with all bidders</w:t>
      </w:r>
    </w:p>
    <w:p>
      <w:r>
        <w:rPr>
          <w:rFonts w:ascii="Inter" w:hAnsi="Inter"/>
          <w:b w:val="0"/>
          <w:color w:val="1F2937"/>
          <w:sz w:val="22"/>
        </w:rPr>
        <w:t>• No oral clarifications will be provided</w:t>
      </w:r>
    </w:p>
    <w:p>
      <w:pPr>
        <w:pStyle w:val="Heading1"/>
      </w:pPr>
      <w:r>
        <w:rPr>
          <w:rFonts w:ascii="Inter" w:hAnsi="Inter"/>
          <w:b/>
          <w:color w:val="DA365C"/>
          <w:sz w:val="32"/>
        </w:rPr>
        <w:t>Corporate Policies &amp; Compliance</w:t>
      </w:r>
    </w:p>
    <w:p>
      <w:r>
        <w:rPr>
          <w:rFonts w:ascii="Inter" w:hAnsi="Inter"/>
          <w:b/>
          <w:color w:val="1F2937"/>
          <w:sz w:val="22"/>
        </w:rPr>
        <w:t>SARBANES-OXLEY (SOX) COMPLIANCE</w:t>
      </w:r>
    </w:p>
    <w:p>
      <w:r>
        <w:rPr>
          <w:rFonts w:ascii="Inter" w:hAnsi="Inter"/>
          <w:b w:val="0"/>
          <w:color w:val="1F2937"/>
          <w:sz w:val="22"/>
        </w:rPr>
        <w:t>Section 404 compliance is mandatory for all selected vendors. Key audit areas include:</w:t>
      </w:r>
    </w:p>
    <w:p>
      <w:r>
        <w:rPr>
          <w:rFonts w:ascii="Inter" w:hAnsi="Inter"/>
          <w:b w:val="0"/>
          <w:color w:val="1F2937"/>
          <w:sz w:val="22"/>
        </w:rPr>
        <w:t>Install &amp; Accredit Systems:</w:t>
      </w:r>
    </w:p>
    <w:p>
      <w:r>
        <w:rPr>
          <w:rFonts w:ascii="Inter" w:hAnsi="Inter"/>
          <w:b w:val="0"/>
          <w:color w:val="1F2937"/>
          <w:sz w:val="22"/>
        </w:rPr>
        <w:t>• System implementation documentation</w:t>
      </w:r>
    </w:p>
    <w:p>
      <w:r>
        <w:rPr>
          <w:rFonts w:ascii="Inter" w:hAnsi="Inter"/>
          <w:b w:val="0"/>
          <w:color w:val="1F2937"/>
          <w:sz w:val="22"/>
        </w:rPr>
        <w:t>• Security and access controls</w:t>
      </w:r>
    </w:p>
    <w:p>
      <w:r>
        <w:rPr>
          <w:rFonts w:ascii="Inter" w:hAnsi="Inter"/>
          <w:b w:val="0"/>
          <w:color w:val="1F2937"/>
          <w:sz w:val="22"/>
        </w:rPr>
        <w:t>• Validation and testing procedures</w:t>
      </w:r>
    </w:p>
    <w:p>
      <w:r>
        <w:rPr>
          <w:rFonts w:ascii="Inter" w:hAnsi="Inter"/>
          <w:b w:val="0"/>
          <w:color w:val="1F2937"/>
          <w:sz w:val="22"/>
        </w:rPr>
        <w:t>Manage Changes:</w:t>
      </w:r>
    </w:p>
    <w:p>
      <w:r>
        <w:rPr>
          <w:rFonts w:ascii="Inter" w:hAnsi="Inter"/>
          <w:b w:val="0"/>
          <w:color w:val="1F2937"/>
          <w:sz w:val="22"/>
        </w:rPr>
        <w:t>• Change control procedures</w:t>
      </w:r>
    </w:p>
    <w:p>
      <w:r>
        <w:rPr>
          <w:rFonts w:ascii="Inter" w:hAnsi="Inter"/>
          <w:b w:val="0"/>
          <w:color w:val="1F2937"/>
          <w:sz w:val="22"/>
        </w:rPr>
        <w:t>• Version control systems</w:t>
      </w:r>
    </w:p>
    <w:p>
      <w:r>
        <w:rPr>
          <w:rFonts w:ascii="Inter" w:hAnsi="Inter"/>
          <w:b w:val="0"/>
          <w:color w:val="1F2937"/>
          <w:sz w:val="22"/>
        </w:rPr>
        <w:t>• Impact assessment processes</w:t>
      </w:r>
    </w:p>
    <w:p>
      <w:r>
        <w:rPr>
          <w:rFonts w:ascii="Inter" w:hAnsi="Inter"/>
          <w:b w:val="0"/>
          <w:color w:val="1F2937"/>
          <w:sz w:val="22"/>
        </w:rPr>
        <w:t>Ensure System Security:</w:t>
      </w:r>
    </w:p>
    <w:p>
      <w:r>
        <w:rPr>
          <w:rFonts w:ascii="Inter" w:hAnsi="Inter"/>
          <w:b w:val="0"/>
          <w:color w:val="1F2937"/>
          <w:sz w:val="22"/>
        </w:rPr>
        <w:t>• Data encryption standards</w:t>
      </w:r>
    </w:p>
    <w:p>
      <w:r>
        <w:rPr>
          <w:rFonts w:ascii="Inter" w:hAnsi="Inter"/>
          <w:b w:val="0"/>
          <w:color w:val="1F2937"/>
          <w:sz w:val="22"/>
        </w:rPr>
        <w:t>• Access logging and monitoring</w:t>
      </w:r>
    </w:p>
    <w:p>
      <w:r>
        <w:rPr>
          <w:rFonts w:ascii="Inter" w:hAnsi="Inter"/>
          <w:b w:val="0"/>
          <w:color w:val="1F2937"/>
          <w:sz w:val="22"/>
        </w:rPr>
        <w:t>• Incident response procedures</w:t>
      </w:r>
    </w:p>
    <w:p>
      <w:r>
        <w:rPr>
          <w:rFonts w:ascii="Inter" w:hAnsi="Inter"/>
          <w:b w:val="0"/>
          <w:color w:val="1F2937"/>
          <w:sz w:val="22"/>
        </w:rPr>
        <w:t>Manage Data:</w:t>
      </w:r>
    </w:p>
    <w:p>
      <w:r>
        <w:rPr>
          <w:rFonts w:ascii="Inter" w:hAnsi="Inter"/>
          <w:b w:val="0"/>
          <w:color w:val="1F2937"/>
          <w:sz w:val="22"/>
        </w:rPr>
        <w:t>• Data governance frameworks</w:t>
      </w:r>
    </w:p>
    <w:p>
      <w:r>
        <w:rPr>
          <w:rFonts w:ascii="Inter" w:hAnsi="Inter"/>
          <w:b w:val="0"/>
          <w:color w:val="1F2937"/>
          <w:sz w:val="22"/>
        </w:rPr>
        <w:t>• Backup and recovery procedures</w:t>
      </w:r>
    </w:p>
    <w:p>
      <w:r>
        <w:rPr>
          <w:rFonts w:ascii="Inter" w:hAnsi="Inter"/>
          <w:b w:val="0"/>
          <w:color w:val="1F2937"/>
          <w:sz w:val="22"/>
        </w:rPr>
        <w:t>• Data retention policies</w:t>
      </w:r>
    </w:p>
    <w:p>
      <w:r>
        <w:rPr>
          <w:rFonts w:ascii="Inter" w:hAnsi="Inter"/>
          <w:b w:val="0"/>
          <w:color w:val="1F2937"/>
          <w:sz w:val="22"/>
        </w:rPr>
        <w:t>Manage Operations:</w:t>
      </w:r>
    </w:p>
    <w:p>
      <w:r>
        <w:rPr>
          <w:rFonts w:ascii="Inter" w:hAnsi="Inter"/>
          <w:b w:val="0"/>
          <w:color w:val="1F2937"/>
          <w:sz w:val="22"/>
        </w:rPr>
        <w:t>• Standard Operating Procedures (SOPs)</w:t>
      </w:r>
    </w:p>
    <w:p>
      <w:r>
        <w:rPr>
          <w:rFonts w:ascii="Inter" w:hAnsi="Inter"/>
          <w:b w:val="0"/>
          <w:color w:val="1F2937"/>
          <w:sz w:val="22"/>
        </w:rPr>
        <w:t>• Performance monitoring</w:t>
      </w:r>
    </w:p>
    <w:p>
      <w:r>
        <w:rPr>
          <w:rFonts w:ascii="Inter" w:hAnsi="Inter"/>
          <w:b w:val="0"/>
          <w:color w:val="1F2937"/>
          <w:sz w:val="22"/>
        </w:rPr>
        <w:t>• Quality assurance processes</w:t>
      </w:r>
    </w:p>
    <w:p>
      <w:r>
        <w:rPr>
          <w:rFonts w:ascii="Inter" w:hAnsi="Inter"/>
          <w:b/>
          <w:color w:val="1F2937"/>
          <w:sz w:val="22"/>
        </w:rPr>
        <w:t>PHARMACOVIGILANCE (PV) OBLIGATIONS</w:t>
      </w:r>
    </w:p>
    <w:p>
      <w:r>
        <w:rPr>
          <w:rFonts w:ascii="Inter" w:hAnsi="Inter"/>
          <w:b w:val="0"/>
          <w:color w:val="1F2937"/>
          <w:sz w:val="22"/>
        </w:rPr>
        <w:t>All vendors must demonstrate understanding and compliance with PV requirements including:</w:t>
      </w:r>
    </w:p>
    <w:p>
      <w:r>
        <w:t>Adverse event reporting procedures: vendors must demonstrate ability to identify and report Adverse Events within 24 hours per regulatory authority and [CLIENT_ORG] specifications</w:t>
      </w:r>
    </w:p>
    <w:p>
      <w:r>
        <w:rPr>
          <w:rFonts w:ascii="Inter" w:hAnsi="Inter"/>
          <w:b w:val="0"/>
          <w:color w:val="1F2937"/>
          <w:sz w:val="22"/>
        </w:rPr>
        <w:t>• Safety data collection standards</w:t>
      </w:r>
    </w:p>
    <w:p>
      <w:r>
        <w:rPr>
          <w:rFonts w:ascii="Inter" w:hAnsi="Inter"/>
          <w:b w:val="0"/>
          <w:color w:val="1F2937"/>
          <w:sz w:val="22"/>
        </w:rPr>
        <w:t>• Regulatory reporting timelines</w:t>
      </w:r>
    </w:p>
    <w:p>
      <w:r>
        <w:rPr>
          <w:rFonts w:ascii="Inter" w:hAnsi="Inter"/>
          <w:b w:val="0"/>
          <w:color w:val="1F2937"/>
          <w:sz w:val="22"/>
        </w:rPr>
        <w:t>• Training and certification requirements</w:t>
      </w:r>
    </w:p>
    <w:p>
      <w:r>
        <w:rPr>
          <w:rFonts w:ascii="Inter" w:hAnsi="Inter"/>
          <w:b/>
          <w:color w:val="1F2937"/>
          <w:sz w:val="22"/>
        </w:rPr>
        <w:t>CORPORATE SOCIAL RESPONSIBILITY (CSR)</w:t>
      </w:r>
    </w:p>
    <w:p>
      <w:r>
        <w:rPr>
          <w:rFonts w:ascii="Inter" w:hAnsi="Inter"/>
          <w:b w:val="0"/>
          <w:color w:val="1F2937"/>
          <w:sz w:val="22"/>
        </w:rPr>
        <w:t>Vendors must complete the CSR questionnaire addressing:</w:t>
      </w:r>
    </w:p>
    <w:p>
      <w:r>
        <w:rPr>
          <w:rFonts w:ascii="Inter" w:hAnsi="Inter"/>
          <w:b w:val="0"/>
          <w:color w:val="1F2937"/>
          <w:sz w:val="22"/>
        </w:rPr>
        <w:t>• Environmental sustainability practices</w:t>
      </w:r>
    </w:p>
    <w:p>
      <w:r>
        <w:rPr>
          <w:rFonts w:ascii="Inter" w:hAnsi="Inter"/>
          <w:b w:val="0"/>
          <w:color w:val="1F2937"/>
          <w:sz w:val="22"/>
        </w:rPr>
        <w:t>• Social impact initiatives</w:t>
      </w:r>
    </w:p>
    <w:p>
      <w:r>
        <w:rPr>
          <w:rFonts w:ascii="Inter" w:hAnsi="Inter"/>
          <w:b w:val="0"/>
          <w:color w:val="1F2937"/>
          <w:sz w:val="22"/>
        </w:rPr>
        <w:t>• Ethical business practices</w:t>
      </w:r>
    </w:p>
    <w:p>
      <w:r>
        <w:rPr>
          <w:rFonts w:ascii="Inter" w:hAnsi="Inter"/>
          <w:b w:val="0"/>
          <w:color w:val="1F2937"/>
          <w:sz w:val="22"/>
        </w:rPr>
        <w:t>• Diversity and inclusion programs</w:t>
      </w:r>
    </w:p>
    <w:p>
      <w:pPr>
        <w:pStyle w:val="Heading1"/>
      </w:pPr>
      <w:r>
        <w:rPr>
          <w:rFonts w:ascii="Inter" w:hAnsi="Inter"/>
          <w:b/>
          <w:color w:val="DA365C"/>
          <w:sz w:val="32"/>
        </w:rPr>
        <w:t>Appendices</w:t>
      </w:r>
    </w:p>
    <w:p>
      <w:r>
        <w:rPr>
          <w:rFonts w:ascii="Inter" w:hAnsi="Inter"/>
          <w:b/>
          <w:color w:val="1F2937"/>
          <w:sz w:val="22"/>
        </w:rPr>
        <w:t>The following appendices are included with this RFP:</w:t>
      </w:r>
    </w:p>
    <w:p>
      <w:r>
        <w:rPr>
          <w:rFonts w:ascii="Inter" w:hAnsi="Inter"/>
          <w:b w:val="0"/>
          <w:color w:val="1F2937"/>
          <w:sz w:val="22"/>
        </w:rPr>
        <w:t>Appendix A: MR Specifications</w:t>
      </w:r>
    </w:p>
    <w:p>
      <w:r>
        <w:rPr>
          <w:rFonts w:ascii="Inter" w:hAnsi="Inter"/>
          <w:b w:val="0"/>
          <w:color w:val="1F2937"/>
          <w:sz w:val="22"/>
        </w:rPr>
        <w:t>• Detailed therapeutic area specifications for CDiff vaccine</w:t>
      </w:r>
    </w:p>
    <w:p>
      <w:r>
        <w:rPr>
          <w:rFonts w:ascii="Inter" w:hAnsi="Inter"/>
          <w:b w:val="0"/>
          <w:color w:val="1F2937"/>
          <w:sz w:val="22"/>
        </w:rPr>
        <w:t>• SGLT-1/SGLT2 inhibitor diabetes research requirements</w:t>
      </w:r>
    </w:p>
    <w:p>
      <w:r>
        <w:rPr>
          <w:rFonts w:ascii="Inter" w:hAnsi="Inter"/>
          <w:b w:val="0"/>
          <w:color w:val="1F2937"/>
          <w:sz w:val="22"/>
        </w:rPr>
        <w:t>• Dupilumab asthma indication research parameters</w:t>
      </w:r>
    </w:p>
    <w:p>
      <w:r>
        <w:rPr>
          <w:rFonts w:ascii="Inter" w:hAnsi="Inter"/>
          <w:b w:val="0"/>
          <w:color w:val="1F2937"/>
          <w:sz w:val="22"/>
        </w:rPr>
        <w:t>Appendix B: Cost Breakdown Templates</w:t>
      </w:r>
    </w:p>
    <w:p>
      <w:r>
        <w:rPr>
          <w:rFonts w:ascii="Inter" w:hAnsi="Inter"/>
          <w:b w:val="0"/>
          <w:color w:val="1F2937"/>
          <w:sz w:val="22"/>
        </w:rPr>
        <w:t>• PMR Study Costs bid template (Excel format)</w:t>
      </w:r>
    </w:p>
    <w:p>
      <w:r>
        <w:rPr>
          <w:rFonts w:ascii="Inter" w:hAnsi="Inter"/>
          <w:b w:val="0"/>
          <w:color w:val="1F2937"/>
          <w:sz w:val="22"/>
        </w:rPr>
        <w:t>• Rate card template for MSA negotiation</w:t>
      </w:r>
    </w:p>
    <w:p>
      <w:r>
        <w:rPr>
          <w:rFonts w:ascii="Inter" w:hAnsi="Inter"/>
          <w:b w:val="0"/>
          <w:color w:val="1F2937"/>
          <w:sz w:val="22"/>
        </w:rPr>
        <w:t>• Cost category definitions and guidelines</w:t>
      </w:r>
    </w:p>
    <w:p>
      <w:r>
        <w:rPr>
          <w:rFonts w:ascii="Inter" w:hAnsi="Inter"/>
          <w:b w:val="0"/>
          <w:color w:val="1F2937"/>
          <w:sz w:val="22"/>
        </w:rPr>
        <w:t>Appendix C: Compliance Documents</w:t>
      </w:r>
    </w:p>
    <w:p>
      <w:r>
        <w:rPr>
          <w:rFonts w:ascii="Inter" w:hAnsi="Inter"/>
          <w:b w:val="0"/>
          <w:color w:val="1F2937"/>
          <w:sz w:val="22"/>
        </w:rPr>
        <w:t>• Pharmacovigilance obligations questionnaire</w:t>
      </w:r>
    </w:p>
    <w:p>
      <w:r>
        <w:rPr>
          <w:rFonts w:ascii="Inter" w:hAnsi="Inter"/>
          <w:b w:val="0"/>
          <w:color w:val="1F2937"/>
          <w:sz w:val="22"/>
        </w:rPr>
        <w:t>• Corporate Social Responsibility questionnaire</w:t>
      </w:r>
    </w:p>
    <w:p>
      <w:r>
        <w:rPr>
          <w:rFonts w:ascii="Inter" w:hAnsi="Inter"/>
          <w:b w:val="0"/>
          <w:color w:val="1F2937"/>
          <w:sz w:val="22"/>
        </w:rPr>
        <w:t>• SOX compliance requirements checklist</w:t>
      </w:r>
    </w:p>
    <w:p>
      <w:r>
        <w:rPr>
          <w:rFonts w:ascii="Inter" w:hAnsi="Inter"/>
          <w:b w:val="0"/>
          <w:color w:val="1F2937"/>
          <w:sz w:val="22"/>
        </w:rPr>
        <w:t>Appendix D: Technical Requirements</w:t>
      </w:r>
    </w:p>
    <w:p>
      <w:r>
        <w:rPr>
          <w:rFonts w:ascii="Inter" w:hAnsi="Inter"/>
          <w:b w:val="0"/>
          <w:color w:val="1F2937"/>
          <w:sz w:val="22"/>
        </w:rPr>
        <w:t>• Data security and privacy standards</w:t>
      </w:r>
    </w:p>
    <w:p>
      <w:r>
        <w:rPr>
          <w:rFonts w:ascii="Inter" w:hAnsi="Inter"/>
          <w:b w:val="0"/>
          <w:color w:val="1F2937"/>
          <w:sz w:val="22"/>
        </w:rPr>
        <w:t>• System integration requirements</w:t>
      </w:r>
    </w:p>
    <w:p>
      <w:r>
        <w:rPr>
          <w:rFonts w:ascii="Inter" w:hAnsi="Inter"/>
          <w:b w:val="0"/>
          <w:color w:val="1F2937"/>
          <w:sz w:val="22"/>
        </w:rPr>
        <w:t>• Reporting format specifications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50615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1"/>
                  <a:stretch>
                    <a:fillRect/>
                  </a:stretch>
                </pic:blipFill>
                <pic:spPr>
                  <a:xfrm>
                    <a:off x="0" y="0"/>
                    <a:ext cx="1828800" cy="50615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